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43E4" w14:textId="26D921C3" w:rsidR="00E82859" w:rsidRPr="00D91B2B" w:rsidRDefault="00BD35B4" w:rsidP="006D0E94">
      <w:pPr>
        <w:spacing w:line="360" w:lineRule="auto"/>
        <w:rPr>
          <w:rFonts w:ascii="Garamond" w:hAnsi="Garamond"/>
          <w:color w:val="000000" w:themeColor="text1"/>
          <w:sz w:val="28"/>
          <w:szCs w:val="28"/>
        </w:rPr>
      </w:pPr>
      <w:bookmarkStart w:id="0" w:name="_Hlk138151728"/>
      <w:r w:rsidRPr="00D91B2B">
        <w:rPr>
          <w:rFonts w:ascii="Garamond" w:hAnsi="Garamond"/>
          <w:color w:val="000000" w:themeColor="text1"/>
          <w:sz w:val="28"/>
          <w:szCs w:val="28"/>
        </w:rPr>
        <w:t xml:space="preserve">                                                      </w:t>
      </w:r>
      <w:r w:rsidRPr="00D91B2B">
        <w:rPr>
          <w:rFonts w:ascii="Garamond" w:hAnsi="Garamond"/>
          <w:noProof/>
          <w:color w:val="000000" w:themeColor="text1"/>
          <w:sz w:val="28"/>
          <w:szCs w:val="28"/>
        </w:rPr>
        <w:drawing>
          <wp:inline distT="0" distB="0" distL="0" distR="0" wp14:anchorId="413FB2C8" wp14:editId="43BA7920">
            <wp:extent cx="895350" cy="895350"/>
            <wp:effectExtent l="0" t="0" r="0" b="0"/>
            <wp:docPr id="2" name="Picture 2" descr="Image result for government of uga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vernment of ugand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7DEB093" w14:textId="77777777" w:rsidR="00BD35B4" w:rsidRPr="00D91B2B" w:rsidRDefault="00BD35B4" w:rsidP="006D0E94">
      <w:pPr>
        <w:spacing w:line="360" w:lineRule="auto"/>
        <w:jc w:val="both"/>
        <w:rPr>
          <w:rFonts w:ascii="Garamond" w:hAnsi="Garamond"/>
          <w:b/>
          <w:color w:val="000000" w:themeColor="text1"/>
          <w:sz w:val="28"/>
          <w:szCs w:val="28"/>
        </w:rPr>
      </w:pPr>
    </w:p>
    <w:p w14:paraId="17244966" w14:textId="43D57E40" w:rsidR="00BD35B4" w:rsidRPr="00D91B2B" w:rsidRDefault="0006731B" w:rsidP="006D0E94">
      <w:pPr>
        <w:spacing w:line="360" w:lineRule="auto"/>
        <w:jc w:val="center"/>
        <w:rPr>
          <w:rFonts w:ascii="Garamond" w:hAnsi="Garamond"/>
          <w:b/>
          <w:color w:val="000000" w:themeColor="text1"/>
          <w:sz w:val="28"/>
          <w:szCs w:val="28"/>
        </w:rPr>
      </w:pPr>
      <w:r w:rsidRPr="00D91B2B">
        <w:rPr>
          <w:rFonts w:ascii="Garamond" w:hAnsi="Garamond"/>
          <w:b/>
          <w:color w:val="000000" w:themeColor="text1"/>
          <w:sz w:val="28"/>
          <w:szCs w:val="28"/>
        </w:rPr>
        <w:t>THE PARLIAMENT OF UGANDA</w:t>
      </w:r>
      <w:r w:rsidR="006047F8" w:rsidRPr="00D91B2B">
        <w:rPr>
          <w:rFonts w:ascii="Garamond" w:hAnsi="Garamond"/>
          <w:b/>
          <w:color w:val="000000" w:themeColor="text1"/>
          <w:sz w:val="28"/>
          <w:szCs w:val="28"/>
        </w:rPr>
        <w:t xml:space="preserve"> </w:t>
      </w:r>
    </w:p>
    <w:p w14:paraId="03D155D4" w14:textId="2709A4F3" w:rsidR="0006731B" w:rsidRPr="00D91B2B" w:rsidRDefault="0006731B" w:rsidP="006D0E94">
      <w:pPr>
        <w:spacing w:line="360" w:lineRule="auto"/>
        <w:jc w:val="both"/>
        <w:rPr>
          <w:rFonts w:ascii="Garamond" w:hAnsi="Garamond"/>
          <w:b/>
          <w:color w:val="000000" w:themeColor="text1"/>
          <w:sz w:val="28"/>
          <w:szCs w:val="28"/>
        </w:rPr>
      </w:pPr>
      <w:r w:rsidRPr="00D91B2B">
        <w:rPr>
          <w:rFonts w:ascii="Garamond" w:hAnsi="Garamond"/>
          <w:b/>
          <w:color w:val="000000" w:themeColor="text1"/>
          <w:sz w:val="28"/>
          <w:szCs w:val="28"/>
        </w:rPr>
        <w:t xml:space="preserve"> MOTION FOR </w:t>
      </w:r>
      <w:bookmarkEnd w:id="0"/>
      <w:r w:rsidRPr="00D91B2B">
        <w:rPr>
          <w:rFonts w:ascii="Garamond" w:hAnsi="Garamond"/>
          <w:b/>
          <w:color w:val="000000" w:themeColor="text1"/>
          <w:sz w:val="28"/>
          <w:szCs w:val="28"/>
        </w:rPr>
        <w:t xml:space="preserve">A RESOLUTION OF PARLIAMENT URGING GOVERNMENT TO ENFORCE STRATEGIES </w:t>
      </w:r>
      <w:r w:rsidR="00581497" w:rsidRPr="00D91B2B">
        <w:rPr>
          <w:rFonts w:ascii="Garamond" w:hAnsi="Garamond"/>
          <w:b/>
          <w:color w:val="000000" w:themeColor="text1"/>
          <w:sz w:val="28"/>
          <w:szCs w:val="28"/>
        </w:rPr>
        <w:t xml:space="preserve">THAT WILL </w:t>
      </w:r>
      <w:r w:rsidR="0092255B" w:rsidRPr="00D91B2B">
        <w:rPr>
          <w:rFonts w:ascii="Garamond" w:hAnsi="Garamond"/>
          <w:b/>
          <w:color w:val="000000" w:themeColor="text1"/>
          <w:sz w:val="28"/>
          <w:szCs w:val="28"/>
        </w:rPr>
        <w:t>FACILITATE YOUNG PEOPLE’S ACCESS TO SRH RIGHTS AND SERVICES</w:t>
      </w:r>
      <w:r w:rsidR="00581497" w:rsidRPr="00D91B2B">
        <w:rPr>
          <w:rFonts w:ascii="Garamond" w:hAnsi="Garamond"/>
          <w:b/>
          <w:color w:val="000000" w:themeColor="text1"/>
          <w:sz w:val="28"/>
          <w:szCs w:val="28"/>
        </w:rPr>
        <w:t>.</w:t>
      </w:r>
    </w:p>
    <w:p w14:paraId="080381AB" w14:textId="2E0743A6" w:rsidR="0006731B" w:rsidRPr="00D91B2B" w:rsidRDefault="0006731B" w:rsidP="006D0E94">
      <w:pPr>
        <w:spacing w:line="360" w:lineRule="auto"/>
        <w:jc w:val="center"/>
        <w:rPr>
          <w:rFonts w:ascii="Garamond" w:hAnsi="Garamond"/>
          <w:b/>
          <w:color w:val="000000" w:themeColor="text1"/>
          <w:sz w:val="28"/>
          <w:szCs w:val="28"/>
        </w:rPr>
      </w:pPr>
      <w:r w:rsidRPr="00D91B2B">
        <w:rPr>
          <w:rFonts w:ascii="Garamond" w:hAnsi="Garamond"/>
          <w:b/>
          <w:color w:val="000000" w:themeColor="text1"/>
          <w:sz w:val="28"/>
          <w:szCs w:val="28"/>
        </w:rPr>
        <w:t>(Moved under Rule 55 of the Rules of Procedure)</w:t>
      </w:r>
    </w:p>
    <w:p w14:paraId="573E1CAB" w14:textId="77777777" w:rsidR="006431F8" w:rsidRPr="00D91B2B" w:rsidRDefault="00377626" w:rsidP="006431F8">
      <w:pPr>
        <w:spacing w:line="360" w:lineRule="auto"/>
        <w:jc w:val="both"/>
        <w:rPr>
          <w:rFonts w:ascii="Cambria" w:hAnsi="Cambria"/>
          <w:color w:val="000000" w:themeColor="text1"/>
          <w:sz w:val="24"/>
          <w:szCs w:val="24"/>
        </w:rPr>
      </w:pPr>
      <w:r w:rsidRPr="00D91B2B">
        <w:rPr>
          <w:rFonts w:ascii="Cambria" w:hAnsi="Cambria"/>
          <w:b/>
          <w:color w:val="000000" w:themeColor="text1"/>
          <w:sz w:val="24"/>
          <w:szCs w:val="24"/>
        </w:rPr>
        <w:t xml:space="preserve">WHEREAS </w:t>
      </w:r>
      <w:r w:rsidRPr="00D91B2B">
        <w:rPr>
          <w:rFonts w:ascii="Cambria" w:hAnsi="Cambria"/>
          <w:color w:val="000000" w:themeColor="text1"/>
          <w:sz w:val="24"/>
          <w:szCs w:val="24"/>
        </w:rPr>
        <w:t xml:space="preserve">Article </w:t>
      </w:r>
      <w:r w:rsidR="00BC1F99" w:rsidRPr="00D91B2B">
        <w:rPr>
          <w:rFonts w:ascii="Cambria" w:hAnsi="Cambria"/>
          <w:color w:val="000000" w:themeColor="text1"/>
          <w:sz w:val="24"/>
          <w:szCs w:val="24"/>
        </w:rPr>
        <w:t>X</w:t>
      </w:r>
      <w:r w:rsidR="00D60CF4" w:rsidRPr="00D91B2B">
        <w:rPr>
          <w:rFonts w:ascii="Cambria" w:hAnsi="Cambria"/>
          <w:color w:val="000000" w:themeColor="text1"/>
          <w:sz w:val="24"/>
          <w:szCs w:val="24"/>
        </w:rPr>
        <w:t>X</w:t>
      </w:r>
      <w:r w:rsidR="00BC1F99" w:rsidRPr="00D91B2B">
        <w:rPr>
          <w:rFonts w:ascii="Cambria" w:hAnsi="Cambria"/>
          <w:color w:val="000000" w:themeColor="text1"/>
          <w:sz w:val="24"/>
          <w:szCs w:val="24"/>
        </w:rPr>
        <w:t xml:space="preserve"> of the National Objectives and </w:t>
      </w:r>
      <w:r w:rsidR="00CF3B5B" w:rsidRPr="00D91B2B">
        <w:rPr>
          <w:rFonts w:ascii="Cambria" w:hAnsi="Cambria"/>
          <w:color w:val="000000" w:themeColor="text1"/>
          <w:sz w:val="24"/>
          <w:szCs w:val="24"/>
        </w:rPr>
        <w:t>Directive of State P</w:t>
      </w:r>
      <w:r w:rsidR="00BC1F99" w:rsidRPr="00D91B2B">
        <w:rPr>
          <w:rFonts w:ascii="Cambria" w:hAnsi="Cambria"/>
          <w:color w:val="000000" w:themeColor="text1"/>
          <w:sz w:val="24"/>
          <w:szCs w:val="24"/>
        </w:rPr>
        <w:t xml:space="preserve">olicy entreat the state to </w:t>
      </w:r>
      <w:proofErr w:type="spellStart"/>
      <w:r w:rsidR="00BC1F99" w:rsidRPr="00D91B2B">
        <w:rPr>
          <w:rFonts w:ascii="Cambria" w:hAnsi="Cambria"/>
          <w:color w:val="000000" w:themeColor="text1"/>
          <w:sz w:val="24"/>
          <w:szCs w:val="24"/>
        </w:rPr>
        <w:t>i</w:t>
      </w:r>
      <w:proofErr w:type="spellEnd"/>
      <w:r w:rsidR="00BC1F99" w:rsidRPr="00D91B2B">
        <w:rPr>
          <w:rFonts w:ascii="Cambria" w:hAnsi="Cambria"/>
          <w:color w:val="000000" w:themeColor="text1"/>
          <w:sz w:val="24"/>
          <w:szCs w:val="24"/>
        </w:rPr>
        <w:t xml:space="preserve">) </w:t>
      </w:r>
      <w:r w:rsidR="00D60CF4" w:rsidRPr="00D91B2B">
        <w:rPr>
          <w:rFonts w:ascii="Cambria" w:hAnsi="Cambria" w:cs="Noto Serif"/>
          <w:color w:val="000000" w:themeColor="text1"/>
          <w:sz w:val="24"/>
          <w:szCs w:val="24"/>
          <w:shd w:val="clear" w:color="auto" w:fill="FFFFFF"/>
        </w:rPr>
        <w:t xml:space="preserve">take all practical measures to ensure the provision of basic medical services to the </w:t>
      </w:r>
      <w:proofErr w:type="gramStart"/>
      <w:r w:rsidR="00D60CF4" w:rsidRPr="00D91B2B">
        <w:rPr>
          <w:rFonts w:ascii="Cambria" w:hAnsi="Cambria" w:cs="Noto Serif"/>
          <w:color w:val="000000" w:themeColor="text1"/>
          <w:sz w:val="24"/>
          <w:szCs w:val="24"/>
          <w:shd w:val="clear" w:color="auto" w:fill="FFFFFF"/>
        </w:rPr>
        <w:t>population</w:t>
      </w:r>
      <w:r w:rsidR="0006731B" w:rsidRPr="00D91B2B">
        <w:rPr>
          <w:rFonts w:ascii="Cambria" w:hAnsi="Cambria"/>
          <w:color w:val="000000" w:themeColor="text1"/>
          <w:sz w:val="24"/>
          <w:szCs w:val="24"/>
        </w:rPr>
        <w:t>;</w:t>
      </w:r>
      <w:proofErr w:type="gramEnd"/>
      <w:r w:rsidR="0006731B" w:rsidRPr="00D91B2B">
        <w:rPr>
          <w:rFonts w:ascii="Cambria" w:hAnsi="Cambria"/>
          <w:color w:val="000000" w:themeColor="text1"/>
          <w:sz w:val="24"/>
          <w:szCs w:val="24"/>
        </w:rPr>
        <w:t xml:space="preserve"> </w:t>
      </w:r>
    </w:p>
    <w:p w14:paraId="09922E21" w14:textId="72919CED" w:rsidR="0006731B" w:rsidRPr="00D91B2B" w:rsidRDefault="0006731B" w:rsidP="00B13C09">
      <w:pPr>
        <w:spacing w:line="360" w:lineRule="auto"/>
        <w:ind w:left="2880" w:firstLine="720"/>
        <w:jc w:val="both"/>
        <w:rPr>
          <w:rFonts w:ascii="Cambria" w:hAnsi="Cambria"/>
          <w:color w:val="000000" w:themeColor="text1"/>
          <w:sz w:val="24"/>
          <w:szCs w:val="24"/>
        </w:rPr>
      </w:pPr>
      <w:r w:rsidRPr="00D91B2B">
        <w:rPr>
          <w:rFonts w:ascii="Cambria" w:hAnsi="Cambria"/>
          <w:color w:val="000000" w:themeColor="text1"/>
          <w:sz w:val="24"/>
          <w:szCs w:val="24"/>
        </w:rPr>
        <w:t xml:space="preserve">AND </w:t>
      </w:r>
    </w:p>
    <w:p w14:paraId="5FC87A44" w14:textId="67F2EAB7" w:rsidR="00CE5690" w:rsidRPr="00D91B2B" w:rsidRDefault="0006731B" w:rsidP="006431F8">
      <w:pPr>
        <w:spacing w:line="360" w:lineRule="auto"/>
        <w:jc w:val="both"/>
        <w:rPr>
          <w:rFonts w:ascii="Cambria" w:hAnsi="Cambria"/>
          <w:b/>
          <w:color w:val="000000" w:themeColor="text1"/>
          <w:sz w:val="24"/>
          <w:szCs w:val="24"/>
        </w:rPr>
      </w:pPr>
      <w:r w:rsidRPr="00D91B2B">
        <w:rPr>
          <w:rFonts w:ascii="Cambria" w:hAnsi="Cambria"/>
          <w:b/>
          <w:color w:val="000000" w:themeColor="text1"/>
          <w:sz w:val="24"/>
          <w:szCs w:val="24"/>
        </w:rPr>
        <w:t xml:space="preserve">WHEREAS </w:t>
      </w:r>
      <w:r w:rsidR="00D60CF4" w:rsidRPr="00D91B2B">
        <w:rPr>
          <w:rFonts w:ascii="Cambria" w:hAnsi="Cambria"/>
          <w:color w:val="000000" w:themeColor="text1"/>
          <w:sz w:val="24"/>
          <w:szCs w:val="24"/>
        </w:rPr>
        <w:t xml:space="preserve">Article 118 of the Treaty for the Establishment of the East African Community (EAC) obliges the partner states to promote </w:t>
      </w:r>
      <w:proofErr w:type="spellStart"/>
      <w:r w:rsidR="00D60CF4" w:rsidRPr="00D91B2B">
        <w:rPr>
          <w:rFonts w:ascii="Cambria" w:hAnsi="Cambria"/>
          <w:color w:val="000000" w:themeColor="text1"/>
          <w:sz w:val="24"/>
          <w:szCs w:val="24"/>
        </w:rPr>
        <w:t>harmonised</w:t>
      </w:r>
      <w:proofErr w:type="spellEnd"/>
      <w:r w:rsidR="00D60CF4" w:rsidRPr="00D91B2B">
        <w:rPr>
          <w:rFonts w:ascii="Cambria" w:hAnsi="Cambria"/>
          <w:color w:val="000000" w:themeColor="text1"/>
          <w:sz w:val="24"/>
          <w:szCs w:val="24"/>
        </w:rPr>
        <w:t xml:space="preserve"> national health policies and regulations, enhance the efficiency of health care systems and cooperate in the development of reproductive health </w:t>
      </w:r>
      <w:proofErr w:type="gramStart"/>
      <w:r w:rsidR="00D60CF4" w:rsidRPr="00D91B2B">
        <w:rPr>
          <w:rFonts w:ascii="Cambria" w:hAnsi="Cambria"/>
          <w:color w:val="000000" w:themeColor="text1"/>
          <w:sz w:val="24"/>
          <w:szCs w:val="24"/>
        </w:rPr>
        <w:t>services</w:t>
      </w:r>
      <w:proofErr w:type="gramEnd"/>
    </w:p>
    <w:p w14:paraId="4F91039C" w14:textId="0BAB0E6A" w:rsidR="0006731B" w:rsidRPr="00D91B2B" w:rsidRDefault="0006731B" w:rsidP="006431F8">
      <w:pPr>
        <w:spacing w:line="360" w:lineRule="auto"/>
        <w:jc w:val="both"/>
        <w:rPr>
          <w:rFonts w:ascii="Cambria" w:hAnsi="Cambria"/>
          <w:color w:val="000000" w:themeColor="text1"/>
          <w:sz w:val="24"/>
          <w:szCs w:val="24"/>
        </w:rPr>
      </w:pPr>
      <w:r w:rsidRPr="00D91B2B">
        <w:rPr>
          <w:rFonts w:ascii="Cambria" w:hAnsi="Cambria"/>
          <w:b/>
          <w:color w:val="000000" w:themeColor="text1"/>
          <w:sz w:val="24"/>
          <w:szCs w:val="24"/>
        </w:rPr>
        <w:t>AWARE THAT</w:t>
      </w:r>
      <w:r w:rsidRPr="00D91B2B">
        <w:rPr>
          <w:rFonts w:ascii="Cambria" w:hAnsi="Cambria"/>
          <w:color w:val="000000" w:themeColor="text1"/>
          <w:sz w:val="24"/>
          <w:szCs w:val="24"/>
        </w:rPr>
        <w:t xml:space="preserve"> Uganda has also ratified a number of International Conventions aimed at</w:t>
      </w:r>
      <w:r w:rsidR="00BD31D4" w:rsidRPr="00D91B2B">
        <w:rPr>
          <w:rFonts w:ascii="Cambria" w:hAnsi="Cambria"/>
          <w:color w:val="000000" w:themeColor="text1"/>
          <w:sz w:val="24"/>
          <w:szCs w:val="24"/>
        </w:rPr>
        <w:t xml:space="preserve"> promoting </w:t>
      </w:r>
      <w:r w:rsidR="004251A7" w:rsidRPr="00D91B2B">
        <w:rPr>
          <w:rFonts w:ascii="Cambria" w:hAnsi="Cambria"/>
          <w:color w:val="000000" w:themeColor="text1"/>
          <w:sz w:val="24"/>
          <w:szCs w:val="24"/>
        </w:rPr>
        <w:t xml:space="preserve">health and </w:t>
      </w:r>
      <w:r w:rsidR="00BD31D4" w:rsidRPr="00D91B2B">
        <w:rPr>
          <w:rFonts w:ascii="Cambria" w:hAnsi="Cambria"/>
          <w:color w:val="000000" w:themeColor="text1"/>
          <w:sz w:val="24"/>
          <w:szCs w:val="24"/>
        </w:rPr>
        <w:t>education rights to all children</w:t>
      </w:r>
      <w:r w:rsidR="004251A7" w:rsidRPr="00D91B2B">
        <w:rPr>
          <w:rFonts w:ascii="Cambria" w:hAnsi="Cambria"/>
          <w:color w:val="000000" w:themeColor="text1"/>
          <w:sz w:val="24"/>
          <w:szCs w:val="24"/>
        </w:rPr>
        <w:t>, adolescents and youth</w:t>
      </w:r>
      <w:r w:rsidR="00BD31D4" w:rsidRPr="00D91B2B">
        <w:rPr>
          <w:rFonts w:ascii="Cambria" w:hAnsi="Cambria"/>
          <w:color w:val="000000" w:themeColor="text1"/>
          <w:sz w:val="24"/>
          <w:szCs w:val="24"/>
        </w:rPr>
        <w:t xml:space="preserve"> in Uganda</w:t>
      </w:r>
      <w:r w:rsidRPr="00D91B2B">
        <w:rPr>
          <w:rFonts w:ascii="Cambria" w:hAnsi="Cambria"/>
          <w:color w:val="000000" w:themeColor="text1"/>
          <w:sz w:val="24"/>
          <w:szCs w:val="24"/>
        </w:rPr>
        <w:t xml:space="preserve">; </w:t>
      </w:r>
      <w:proofErr w:type="gramStart"/>
      <w:r w:rsidRPr="00D91B2B">
        <w:rPr>
          <w:rFonts w:ascii="Cambria" w:hAnsi="Cambria"/>
          <w:color w:val="000000" w:themeColor="text1"/>
          <w:sz w:val="24"/>
          <w:szCs w:val="24"/>
        </w:rPr>
        <w:t>including;</w:t>
      </w:r>
      <w:proofErr w:type="gramEnd"/>
    </w:p>
    <w:p w14:paraId="09445FE7" w14:textId="77777777" w:rsidR="0006731B" w:rsidRPr="00D91B2B" w:rsidRDefault="0006731B" w:rsidP="006431F8">
      <w:pPr>
        <w:pStyle w:val="ListParagraph"/>
        <w:numPr>
          <w:ilvl w:val="0"/>
          <w:numId w:val="6"/>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 xml:space="preserve">The Universal Declaration of Human </w:t>
      </w:r>
      <w:proofErr w:type="gramStart"/>
      <w:r w:rsidRPr="00D91B2B">
        <w:rPr>
          <w:rFonts w:ascii="Cambria" w:hAnsi="Cambria"/>
          <w:color w:val="000000" w:themeColor="text1"/>
          <w:sz w:val="24"/>
          <w:szCs w:val="24"/>
        </w:rPr>
        <w:t>Rights;</w:t>
      </w:r>
      <w:proofErr w:type="gramEnd"/>
    </w:p>
    <w:p w14:paraId="1F1FC76F" w14:textId="35A2503E" w:rsidR="0006731B" w:rsidRPr="00D91B2B" w:rsidRDefault="0006731B" w:rsidP="006431F8">
      <w:pPr>
        <w:pStyle w:val="ListParagraph"/>
        <w:numPr>
          <w:ilvl w:val="0"/>
          <w:numId w:val="6"/>
        </w:numPr>
        <w:spacing w:line="360" w:lineRule="auto"/>
        <w:jc w:val="both"/>
        <w:rPr>
          <w:rFonts w:ascii="Cambria" w:hAnsi="Cambria"/>
          <w:b/>
          <w:color w:val="000000" w:themeColor="text1"/>
          <w:sz w:val="24"/>
          <w:szCs w:val="24"/>
        </w:rPr>
      </w:pPr>
      <w:r w:rsidRPr="00D91B2B">
        <w:rPr>
          <w:rFonts w:ascii="Cambria" w:hAnsi="Cambria"/>
          <w:color w:val="000000" w:themeColor="text1"/>
          <w:sz w:val="24"/>
          <w:szCs w:val="24"/>
        </w:rPr>
        <w:t xml:space="preserve">The Convention on the Rights of the </w:t>
      </w:r>
      <w:proofErr w:type="gramStart"/>
      <w:r w:rsidRPr="00D91B2B">
        <w:rPr>
          <w:rFonts w:ascii="Cambria" w:hAnsi="Cambria"/>
          <w:color w:val="000000" w:themeColor="text1"/>
          <w:sz w:val="24"/>
          <w:szCs w:val="24"/>
        </w:rPr>
        <w:t>Child;</w:t>
      </w:r>
      <w:proofErr w:type="gramEnd"/>
    </w:p>
    <w:p w14:paraId="2EED22AE" w14:textId="63CD27DB" w:rsidR="00BD31D4" w:rsidRPr="00D91B2B" w:rsidRDefault="00BD31D4" w:rsidP="006431F8">
      <w:pPr>
        <w:pStyle w:val="ListParagraph"/>
        <w:numPr>
          <w:ilvl w:val="0"/>
          <w:numId w:val="6"/>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African Charter on the welfare and rights of a child</w:t>
      </w:r>
    </w:p>
    <w:p w14:paraId="507ED9FE" w14:textId="1CE12304" w:rsidR="00BD31D4" w:rsidRPr="00D91B2B" w:rsidRDefault="00BD31D4" w:rsidP="006431F8">
      <w:pPr>
        <w:pStyle w:val="ListParagraph"/>
        <w:numPr>
          <w:ilvl w:val="0"/>
          <w:numId w:val="6"/>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 xml:space="preserve">International Covenant on Economic, Social and Cultural Rights  </w:t>
      </w:r>
    </w:p>
    <w:p w14:paraId="1750F47B" w14:textId="710246F9" w:rsidR="004251A7" w:rsidRPr="00D91B2B" w:rsidRDefault="004251A7" w:rsidP="006431F8">
      <w:pPr>
        <w:pStyle w:val="ListParagraph"/>
        <w:numPr>
          <w:ilvl w:val="0"/>
          <w:numId w:val="6"/>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 xml:space="preserve">The ESA </w:t>
      </w:r>
      <w:proofErr w:type="spellStart"/>
      <w:r w:rsidRPr="00D91B2B">
        <w:rPr>
          <w:rFonts w:ascii="Cambria" w:hAnsi="Cambria"/>
          <w:color w:val="000000" w:themeColor="text1"/>
          <w:sz w:val="24"/>
          <w:szCs w:val="24"/>
        </w:rPr>
        <w:t>Committment</w:t>
      </w:r>
      <w:proofErr w:type="spellEnd"/>
    </w:p>
    <w:p w14:paraId="2132AEBD" w14:textId="77777777" w:rsidR="0006731B" w:rsidRPr="00D91B2B" w:rsidRDefault="0006731B" w:rsidP="006431F8">
      <w:pPr>
        <w:pStyle w:val="ListParagraph"/>
        <w:numPr>
          <w:ilvl w:val="0"/>
          <w:numId w:val="6"/>
        </w:numPr>
        <w:spacing w:line="360" w:lineRule="auto"/>
        <w:jc w:val="both"/>
        <w:rPr>
          <w:rFonts w:ascii="Cambria" w:hAnsi="Cambria"/>
          <w:b/>
          <w:color w:val="000000" w:themeColor="text1"/>
          <w:sz w:val="24"/>
          <w:szCs w:val="24"/>
        </w:rPr>
      </w:pPr>
      <w:r w:rsidRPr="00D91B2B">
        <w:rPr>
          <w:rFonts w:ascii="Cambria" w:hAnsi="Cambria"/>
          <w:color w:val="000000" w:themeColor="text1"/>
          <w:sz w:val="24"/>
          <w:szCs w:val="24"/>
        </w:rPr>
        <w:t xml:space="preserve">The Convention on the Elimination of All Forms of Discrimination Against </w:t>
      </w:r>
      <w:proofErr w:type="gramStart"/>
      <w:r w:rsidRPr="00D91B2B">
        <w:rPr>
          <w:rFonts w:ascii="Cambria" w:hAnsi="Cambria"/>
          <w:color w:val="000000" w:themeColor="text1"/>
          <w:sz w:val="24"/>
          <w:szCs w:val="24"/>
        </w:rPr>
        <w:t>Women;</w:t>
      </w:r>
      <w:proofErr w:type="gramEnd"/>
    </w:p>
    <w:p w14:paraId="30665217" w14:textId="78F3859E" w:rsidR="0006731B" w:rsidRPr="00D91B2B" w:rsidRDefault="0006731B" w:rsidP="006431F8">
      <w:pPr>
        <w:pStyle w:val="ListParagraph"/>
        <w:numPr>
          <w:ilvl w:val="0"/>
          <w:numId w:val="6"/>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lastRenderedPageBreak/>
        <w:t>The Protocol to the African Charter on Human and People’s Rights on the Rights of women in Africa;</w:t>
      </w:r>
      <w:r w:rsidR="00BD31D4" w:rsidRPr="00D91B2B">
        <w:rPr>
          <w:rFonts w:ascii="Cambria" w:hAnsi="Cambria"/>
          <w:color w:val="000000" w:themeColor="text1"/>
          <w:sz w:val="24"/>
          <w:szCs w:val="24"/>
        </w:rPr>
        <w:t xml:space="preserve"> and </w:t>
      </w:r>
    </w:p>
    <w:p w14:paraId="6068167E" w14:textId="102D7DFE" w:rsidR="0006731B" w:rsidRPr="00D91B2B" w:rsidRDefault="0006731B" w:rsidP="006431F8">
      <w:pPr>
        <w:pStyle w:val="ListParagraph"/>
        <w:numPr>
          <w:ilvl w:val="0"/>
          <w:numId w:val="6"/>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 xml:space="preserve">The Maputo Plan of </w:t>
      </w:r>
      <w:proofErr w:type="gramStart"/>
      <w:r w:rsidRPr="00D91B2B">
        <w:rPr>
          <w:rFonts w:ascii="Cambria" w:hAnsi="Cambria"/>
          <w:color w:val="000000" w:themeColor="text1"/>
          <w:sz w:val="24"/>
          <w:szCs w:val="24"/>
        </w:rPr>
        <w:t>Action;</w:t>
      </w:r>
      <w:proofErr w:type="gramEnd"/>
      <w:r w:rsidRPr="00D91B2B">
        <w:rPr>
          <w:rFonts w:ascii="Cambria" w:hAnsi="Cambria"/>
          <w:color w:val="000000" w:themeColor="text1"/>
          <w:sz w:val="24"/>
          <w:szCs w:val="24"/>
        </w:rPr>
        <w:t xml:space="preserve">  </w:t>
      </w:r>
    </w:p>
    <w:p w14:paraId="48E43E94" w14:textId="085BFC18" w:rsidR="006431F8" w:rsidRPr="00D91B2B" w:rsidRDefault="006431F8" w:rsidP="006431F8">
      <w:pPr>
        <w:spacing w:line="360" w:lineRule="auto"/>
        <w:jc w:val="both"/>
        <w:rPr>
          <w:rFonts w:ascii="Cambria" w:hAnsi="Cambria"/>
          <w:color w:val="000000" w:themeColor="text1"/>
          <w:sz w:val="24"/>
          <w:szCs w:val="24"/>
        </w:rPr>
      </w:pPr>
      <w:r w:rsidRPr="00D91B2B">
        <w:rPr>
          <w:rFonts w:ascii="Cambria" w:hAnsi="Cambria"/>
          <w:b/>
          <w:color w:val="000000" w:themeColor="text1"/>
          <w:sz w:val="24"/>
          <w:szCs w:val="24"/>
        </w:rPr>
        <w:t xml:space="preserve">AWARE that </w:t>
      </w:r>
      <w:r w:rsidRPr="00D91B2B">
        <w:rPr>
          <w:rFonts w:ascii="Cambria" w:hAnsi="Cambria"/>
          <w:color w:val="000000" w:themeColor="text1"/>
          <w:sz w:val="24"/>
          <w:szCs w:val="24"/>
        </w:rPr>
        <w:t xml:space="preserve">Although Uganda is a signatory to many of those instruments and </w:t>
      </w:r>
      <w:proofErr w:type="spellStart"/>
      <w:r w:rsidRPr="00D91B2B">
        <w:rPr>
          <w:rFonts w:ascii="Cambria" w:hAnsi="Cambria"/>
          <w:color w:val="000000" w:themeColor="text1"/>
          <w:sz w:val="24"/>
          <w:szCs w:val="24"/>
        </w:rPr>
        <w:t>recognises</w:t>
      </w:r>
      <w:proofErr w:type="spellEnd"/>
      <w:r w:rsidRPr="00D91B2B">
        <w:rPr>
          <w:rFonts w:ascii="Cambria" w:hAnsi="Cambria"/>
          <w:color w:val="000000" w:themeColor="text1"/>
          <w:sz w:val="24"/>
          <w:szCs w:val="24"/>
        </w:rPr>
        <w:t xml:space="preserve"> the right to health in national legislation, its constitution lacks an express provision for it. Instead, the right is merely inferred from several other guarantees under the national objectives of state policy, such as Article 21 on equality, Article 22 on life, Article 31 on family rights, Article 32 on affirmative action, Article 33 on women’s rights, Article 39 on the right to clean and healthy environment, and Article 41 on information access, among </w:t>
      </w:r>
      <w:proofErr w:type="gramStart"/>
      <w:r w:rsidRPr="00D91B2B">
        <w:rPr>
          <w:rFonts w:ascii="Cambria" w:hAnsi="Cambria"/>
          <w:color w:val="000000" w:themeColor="text1"/>
          <w:sz w:val="24"/>
          <w:szCs w:val="24"/>
        </w:rPr>
        <w:t>others;</w:t>
      </w:r>
      <w:proofErr w:type="gramEnd"/>
    </w:p>
    <w:p w14:paraId="4BE2D8F2" w14:textId="77777777" w:rsidR="006431F8" w:rsidRPr="00D91B2B" w:rsidRDefault="006431F8" w:rsidP="006431F8">
      <w:pPr>
        <w:spacing w:line="360" w:lineRule="auto"/>
        <w:jc w:val="both"/>
        <w:rPr>
          <w:rFonts w:ascii="Cambria" w:hAnsi="Cambria"/>
          <w:b/>
          <w:color w:val="000000" w:themeColor="text1"/>
          <w:sz w:val="24"/>
          <w:szCs w:val="24"/>
        </w:rPr>
      </w:pPr>
    </w:p>
    <w:p w14:paraId="32D748BB" w14:textId="5156F66F" w:rsidR="00EE6865" w:rsidRPr="00D91B2B" w:rsidRDefault="006431F8" w:rsidP="006431F8">
      <w:pPr>
        <w:spacing w:line="360" w:lineRule="auto"/>
        <w:jc w:val="both"/>
        <w:rPr>
          <w:rFonts w:ascii="Cambria" w:hAnsi="Cambria"/>
          <w:color w:val="000000" w:themeColor="text1"/>
          <w:sz w:val="24"/>
          <w:szCs w:val="24"/>
        </w:rPr>
      </w:pPr>
      <w:r w:rsidRPr="00D91B2B">
        <w:rPr>
          <w:rFonts w:ascii="Cambria" w:hAnsi="Cambria"/>
          <w:b/>
          <w:color w:val="000000" w:themeColor="text1"/>
          <w:sz w:val="24"/>
          <w:szCs w:val="24"/>
        </w:rPr>
        <w:t xml:space="preserve">FURTHER AWARE </w:t>
      </w:r>
      <w:r w:rsidR="00EE6865" w:rsidRPr="00D91B2B">
        <w:rPr>
          <w:rFonts w:ascii="Cambria" w:hAnsi="Cambria"/>
          <w:b/>
          <w:color w:val="000000" w:themeColor="text1"/>
          <w:sz w:val="24"/>
          <w:szCs w:val="24"/>
        </w:rPr>
        <w:t xml:space="preserve">that </w:t>
      </w:r>
      <w:r w:rsidR="00B07A92" w:rsidRPr="00D91B2B">
        <w:rPr>
          <w:rFonts w:ascii="Cambria" w:hAnsi="Cambria"/>
          <w:color w:val="000000" w:themeColor="text1"/>
          <w:sz w:val="24"/>
          <w:szCs w:val="24"/>
        </w:rPr>
        <w:t xml:space="preserve">The Government of Uganda (GOU) has committed over the years to the reduction of maternal mortality and improving sexual, reproductive health and family planning services through adopting international and regional instruments and standards like the Sustainable Development Goals (SDGs), and a number of policies and strategies at the national level which include; Uganda Vision 2040, The </w:t>
      </w:r>
      <w:r w:rsidR="004251A7" w:rsidRPr="00D91B2B">
        <w:rPr>
          <w:rFonts w:ascii="Cambria" w:hAnsi="Cambria"/>
          <w:color w:val="000000" w:themeColor="text1"/>
          <w:sz w:val="24"/>
          <w:szCs w:val="24"/>
        </w:rPr>
        <w:t>N</w:t>
      </w:r>
      <w:r w:rsidR="00B07A92" w:rsidRPr="00D91B2B">
        <w:rPr>
          <w:rFonts w:ascii="Cambria" w:hAnsi="Cambria"/>
          <w:color w:val="000000" w:themeColor="text1"/>
          <w:sz w:val="24"/>
          <w:szCs w:val="24"/>
        </w:rPr>
        <w:t xml:space="preserve">ational </w:t>
      </w:r>
      <w:r w:rsidR="004251A7" w:rsidRPr="00D91B2B">
        <w:rPr>
          <w:rFonts w:ascii="Cambria" w:hAnsi="Cambria"/>
          <w:color w:val="000000" w:themeColor="text1"/>
          <w:sz w:val="24"/>
          <w:szCs w:val="24"/>
        </w:rPr>
        <w:t>D</w:t>
      </w:r>
      <w:r w:rsidR="00B07A92" w:rsidRPr="00D91B2B">
        <w:rPr>
          <w:rFonts w:ascii="Cambria" w:hAnsi="Cambria"/>
          <w:color w:val="000000" w:themeColor="text1"/>
          <w:sz w:val="24"/>
          <w:szCs w:val="24"/>
        </w:rPr>
        <w:t xml:space="preserve">evelopment </w:t>
      </w:r>
      <w:r w:rsidR="004251A7" w:rsidRPr="00D91B2B">
        <w:rPr>
          <w:rFonts w:ascii="Cambria" w:hAnsi="Cambria"/>
          <w:color w:val="000000" w:themeColor="text1"/>
          <w:sz w:val="24"/>
          <w:szCs w:val="24"/>
        </w:rPr>
        <w:t>P</w:t>
      </w:r>
      <w:r w:rsidR="00B07A92" w:rsidRPr="00D91B2B">
        <w:rPr>
          <w:rFonts w:ascii="Cambria" w:hAnsi="Cambria"/>
          <w:color w:val="000000" w:themeColor="text1"/>
          <w:sz w:val="24"/>
          <w:szCs w:val="24"/>
        </w:rPr>
        <w:t>lan</w:t>
      </w:r>
      <w:r w:rsidR="004251A7" w:rsidRPr="00D91B2B">
        <w:rPr>
          <w:rFonts w:ascii="Cambria" w:hAnsi="Cambria"/>
          <w:color w:val="000000" w:themeColor="text1"/>
          <w:sz w:val="24"/>
          <w:szCs w:val="24"/>
        </w:rPr>
        <w:t xml:space="preserve"> III</w:t>
      </w:r>
      <w:r w:rsidR="00B07A92" w:rsidRPr="00D91B2B">
        <w:rPr>
          <w:rFonts w:ascii="Cambria" w:hAnsi="Cambria"/>
          <w:color w:val="000000" w:themeColor="text1"/>
          <w:sz w:val="24"/>
          <w:szCs w:val="24"/>
        </w:rPr>
        <w:t xml:space="preserve"> (20</w:t>
      </w:r>
      <w:r w:rsidR="004251A7" w:rsidRPr="00D91B2B">
        <w:rPr>
          <w:rFonts w:ascii="Cambria" w:hAnsi="Cambria"/>
          <w:color w:val="000000" w:themeColor="text1"/>
          <w:sz w:val="24"/>
          <w:szCs w:val="24"/>
        </w:rPr>
        <w:t>20</w:t>
      </w:r>
      <w:r w:rsidR="00B07A92" w:rsidRPr="00D91B2B">
        <w:rPr>
          <w:rFonts w:ascii="Cambria" w:hAnsi="Cambria"/>
          <w:color w:val="000000" w:themeColor="text1"/>
          <w:sz w:val="24"/>
          <w:szCs w:val="24"/>
        </w:rPr>
        <w:t>/</w:t>
      </w:r>
      <w:r w:rsidR="004251A7" w:rsidRPr="00D91B2B">
        <w:rPr>
          <w:rFonts w:ascii="Cambria" w:hAnsi="Cambria"/>
          <w:color w:val="000000" w:themeColor="text1"/>
          <w:sz w:val="24"/>
          <w:szCs w:val="24"/>
        </w:rPr>
        <w:t>21</w:t>
      </w:r>
      <w:r w:rsidR="00B07A92" w:rsidRPr="00D91B2B">
        <w:rPr>
          <w:rFonts w:ascii="Cambria" w:hAnsi="Cambria"/>
          <w:color w:val="000000" w:themeColor="text1"/>
          <w:sz w:val="24"/>
          <w:szCs w:val="24"/>
        </w:rPr>
        <w:t>-20</w:t>
      </w:r>
      <w:r w:rsidR="004251A7" w:rsidRPr="00D91B2B">
        <w:rPr>
          <w:rFonts w:ascii="Cambria" w:hAnsi="Cambria"/>
          <w:color w:val="000000" w:themeColor="text1"/>
          <w:sz w:val="24"/>
          <w:szCs w:val="24"/>
        </w:rPr>
        <w:t>25</w:t>
      </w:r>
      <w:r w:rsidR="00B07A92" w:rsidRPr="00D91B2B">
        <w:rPr>
          <w:rFonts w:ascii="Cambria" w:hAnsi="Cambria"/>
          <w:color w:val="000000" w:themeColor="text1"/>
          <w:sz w:val="24"/>
          <w:szCs w:val="24"/>
        </w:rPr>
        <w:t>/</w:t>
      </w:r>
      <w:r w:rsidR="004251A7" w:rsidRPr="00D91B2B">
        <w:rPr>
          <w:rFonts w:ascii="Cambria" w:hAnsi="Cambria"/>
          <w:color w:val="000000" w:themeColor="text1"/>
          <w:sz w:val="24"/>
          <w:szCs w:val="24"/>
        </w:rPr>
        <w:t>26</w:t>
      </w:r>
      <w:r w:rsidR="00B07A92" w:rsidRPr="00D91B2B">
        <w:rPr>
          <w:rFonts w:ascii="Cambria" w:hAnsi="Cambria"/>
          <w:color w:val="000000" w:themeColor="text1"/>
          <w:sz w:val="24"/>
          <w:szCs w:val="24"/>
        </w:rPr>
        <w:t xml:space="preserve">), National </w:t>
      </w:r>
      <w:r w:rsidR="004251A7" w:rsidRPr="00D91B2B">
        <w:rPr>
          <w:rFonts w:ascii="Cambria" w:hAnsi="Cambria"/>
          <w:color w:val="000000" w:themeColor="text1"/>
          <w:sz w:val="24"/>
          <w:szCs w:val="24"/>
        </w:rPr>
        <w:t>H</w:t>
      </w:r>
      <w:r w:rsidR="00B07A92" w:rsidRPr="00D91B2B">
        <w:rPr>
          <w:rFonts w:ascii="Cambria" w:hAnsi="Cambria"/>
          <w:color w:val="000000" w:themeColor="text1"/>
          <w:sz w:val="24"/>
          <w:szCs w:val="24"/>
        </w:rPr>
        <w:t xml:space="preserve">ealth </w:t>
      </w:r>
      <w:r w:rsidR="004251A7" w:rsidRPr="00D91B2B">
        <w:rPr>
          <w:rFonts w:ascii="Cambria" w:hAnsi="Cambria"/>
          <w:color w:val="000000" w:themeColor="text1"/>
          <w:sz w:val="24"/>
          <w:szCs w:val="24"/>
        </w:rPr>
        <w:t>P</w:t>
      </w:r>
      <w:r w:rsidR="00B07A92" w:rsidRPr="00D91B2B">
        <w:rPr>
          <w:rFonts w:ascii="Cambria" w:hAnsi="Cambria"/>
          <w:color w:val="000000" w:themeColor="text1"/>
          <w:sz w:val="24"/>
          <w:szCs w:val="24"/>
        </w:rPr>
        <w:t xml:space="preserve">olicy, the </w:t>
      </w:r>
      <w:r w:rsidR="004251A7" w:rsidRPr="00D91B2B">
        <w:rPr>
          <w:rFonts w:ascii="Cambria" w:hAnsi="Cambria"/>
          <w:color w:val="000000" w:themeColor="text1"/>
          <w:sz w:val="24"/>
          <w:szCs w:val="24"/>
        </w:rPr>
        <w:t>G</w:t>
      </w:r>
      <w:r w:rsidR="00B07A92" w:rsidRPr="00D91B2B">
        <w:rPr>
          <w:rFonts w:ascii="Cambria" w:hAnsi="Cambria"/>
          <w:color w:val="000000" w:themeColor="text1"/>
          <w:sz w:val="24"/>
          <w:szCs w:val="24"/>
        </w:rPr>
        <w:t xml:space="preserve">ender </w:t>
      </w:r>
      <w:r w:rsidR="004251A7" w:rsidRPr="00D91B2B">
        <w:rPr>
          <w:rFonts w:ascii="Cambria" w:hAnsi="Cambria"/>
          <w:color w:val="000000" w:themeColor="text1"/>
          <w:sz w:val="24"/>
          <w:szCs w:val="24"/>
        </w:rPr>
        <w:t>P</w:t>
      </w:r>
      <w:r w:rsidR="00B07A92" w:rsidRPr="00D91B2B">
        <w:rPr>
          <w:rFonts w:ascii="Cambria" w:hAnsi="Cambria"/>
          <w:color w:val="000000" w:themeColor="text1"/>
          <w:sz w:val="24"/>
          <w:szCs w:val="24"/>
        </w:rPr>
        <w:t xml:space="preserve">olicy, </w:t>
      </w:r>
      <w:r w:rsidR="004251A7" w:rsidRPr="00D91B2B">
        <w:rPr>
          <w:rFonts w:ascii="Cambria" w:hAnsi="Cambria"/>
          <w:color w:val="000000" w:themeColor="text1"/>
          <w:sz w:val="24"/>
          <w:szCs w:val="24"/>
        </w:rPr>
        <w:t xml:space="preserve">the Gender in Education Policy, </w:t>
      </w:r>
      <w:r w:rsidR="00B07A92" w:rsidRPr="00D91B2B">
        <w:rPr>
          <w:rFonts w:ascii="Cambria" w:hAnsi="Cambria"/>
          <w:color w:val="000000" w:themeColor="text1"/>
          <w:sz w:val="24"/>
          <w:szCs w:val="24"/>
        </w:rPr>
        <w:t xml:space="preserve">National policy guidelines and service standards on </w:t>
      </w:r>
      <w:r w:rsidR="004251A7" w:rsidRPr="00D91B2B">
        <w:rPr>
          <w:rFonts w:ascii="Cambria" w:hAnsi="Cambria"/>
          <w:color w:val="000000" w:themeColor="text1"/>
          <w:sz w:val="24"/>
          <w:szCs w:val="24"/>
        </w:rPr>
        <w:t>S</w:t>
      </w:r>
      <w:r w:rsidR="00B07A92" w:rsidRPr="00D91B2B">
        <w:rPr>
          <w:rFonts w:ascii="Cambria" w:hAnsi="Cambria"/>
          <w:color w:val="000000" w:themeColor="text1"/>
          <w:sz w:val="24"/>
          <w:szCs w:val="24"/>
        </w:rPr>
        <w:t xml:space="preserve">exual </w:t>
      </w:r>
      <w:r w:rsidR="004251A7" w:rsidRPr="00D91B2B">
        <w:rPr>
          <w:rFonts w:ascii="Cambria" w:hAnsi="Cambria"/>
          <w:color w:val="000000" w:themeColor="text1"/>
          <w:sz w:val="24"/>
          <w:szCs w:val="24"/>
        </w:rPr>
        <w:t>R</w:t>
      </w:r>
      <w:r w:rsidR="00B07A92" w:rsidRPr="00D91B2B">
        <w:rPr>
          <w:rFonts w:ascii="Cambria" w:hAnsi="Cambria"/>
          <w:color w:val="000000" w:themeColor="text1"/>
          <w:sz w:val="24"/>
          <w:szCs w:val="24"/>
        </w:rPr>
        <w:t xml:space="preserve">eproductive </w:t>
      </w:r>
      <w:r w:rsidR="004251A7" w:rsidRPr="00D91B2B">
        <w:rPr>
          <w:rFonts w:ascii="Cambria" w:hAnsi="Cambria"/>
          <w:color w:val="000000" w:themeColor="text1"/>
          <w:sz w:val="24"/>
          <w:szCs w:val="24"/>
        </w:rPr>
        <w:t>H</w:t>
      </w:r>
      <w:r w:rsidR="00B07A92" w:rsidRPr="00D91B2B">
        <w:rPr>
          <w:rFonts w:ascii="Cambria" w:hAnsi="Cambria"/>
          <w:color w:val="000000" w:themeColor="text1"/>
          <w:sz w:val="24"/>
          <w:szCs w:val="24"/>
        </w:rPr>
        <w:t xml:space="preserve">ealth and </w:t>
      </w:r>
      <w:r w:rsidR="004251A7" w:rsidRPr="00D91B2B">
        <w:rPr>
          <w:rFonts w:ascii="Cambria" w:hAnsi="Cambria"/>
          <w:color w:val="000000" w:themeColor="text1"/>
          <w:sz w:val="24"/>
          <w:szCs w:val="24"/>
        </w:rPr>
        <w:t>R</w:t>
      </w:r>
      <w:r w:rsidR="00B07A92" w:rsidRPr="00D91B2B">
        <w:rPr>
          <w:rFonts w:ascii="Cambria" w:hAnsi="Cambria"/>
          <w:color w:val="000000" w:themeColor="text1"/>
          <w:sz w:val="24"/>
          <w:szCs w:val="24"/>
        </w:rPr>
        <w:t xml:space="preserve">ights (2012), the </w:t>
      </w:r>
      <w:r w:rsidR="004251A7" w:rsidRPr="00D91B2B">
        <w:rPr>
          <w:rFonts w:ascii="Cambria" w:hAnsi="Cambria"/>
          <w:color w:val="000000" w:themeColor="text1"/>
          <w:sz w:val="24"/>
          <w:szCs w:val="24"/>
        </w:rPr>
        <w:t>A</w:t>
      </w:r>
      <w:r w:rsidR="00B07A92" w:rsidRPr="00D91B2B">
        <w:rPr>
          <w:rFonts w:ascii="Cambria" w:hAnsi="Cambria"/>
          <w:color w:val="000000" w:themeColor="text1"/>
          <w:sz w:val="24"/>
          <w:szCs w:val="24"/>
        </w:rPr>
        <w:t xml:space="preserve">dolescent </w:t>
      </w:r>
      <w:r w:rsidR="004251A7" w:rsidRPr="00D91B2B">
        <w:rPr>
          <w:rFonts w:ascii="Cambria" w:hAnsi="Cambria"/>
          <w:color w:val="000000" w:themeColor="text1"/>
          <w:sz w:val="24"/>
          <w:szCs w:val="24"/>
        </w:rPr>
        <w:t>H</w:t>
      </w:r>
      <w:r w:rsidR="00B07A92" w:rsidRPr="00D91B2B">
        <w:rPr>
          <w:rFonts w:ascii="Cambria" w:hAnsi="Cambria"/>
          <w:color w:val="000000" w:themeColor="text1"/>
          <w:sz w:val="24"/>
          <w:szCs w:val="24"/>
        </w:rPr>
        <w:t xml:space="preserve">ealth </w:t>
      </w:r>
      <w:r w:rsidR="004251A7" w:rsidRPr="00D91B2B">
        <w:rPr>
          <w:rFonts w:ascii="Cambria" w:hAnsi="Cambria"/>
          <w:color w:val="000000" w:themeColor="text1"/>
          <w:sz w:val="24"/>
          <w:szCs w:val="24"/>
        </w:rPr>
        <w:t>P</w:t>
      </w:r>
      <w:r w:rsidR="00B07A92" w:rsidRPr="00D91B2B">
        <w:rPr>
          <w:rFonts w:ascii="Cambria" w:hAnsi="Cambria"/>
          <w:color w:val="000000" w:themeColor="text1"/>
          <w:sz w:val="24"/>
          <w:szCs w:val="24"/>
        </w:rPr>
        <w:t xml:space="preserve">olicy, </w:t>
      </w:r>
      <w:r w:rsidR="004251A7" w:rsidRPr="00D91B2B">
        <w:rPr>
          <w:rFonts w:ascii="Cambria" w:hAnsi="Cambria"/>
          <w:color w:val="000000" w:themeColor="text1"/>
          <w:sz w:val="24"/>
          <w:szCs w:val="24"/>
        </w:rPr>
        <w:t xml:space="preserve">the Human Capital Development </w:t>
      </w:r>
      <w:proofErr w:type="spellStart"/>
      <w:r w:rsidR="004251A7" w:rsidRPr="00D91B2B">
        <w:rPr>
          <w:rFonts w:ascii="Cambria" w:hAnsi="Cambria"/>
          <w:color w:val="000000" w:themeColor="text1"/>
          <w:sz w:val="24"/>
          <w:szCs w:val="24"/>
        </w:rPr>
        <w:t>Programme</w:t>
      </w:r>
      <w:proofErr w:type="spellEnd"/>
      <w:r w:rsidR="004251A7" w:rsidRPr="00D91B2B">
        <w:rPr>
          <w:rFonts w:ascii="Cambria" w:hAnsi="Cambria"/>
          <w:color w:val="000000" w:themeColor="text1"/>
          <w:sz w:val="24"/>
          <w:szCs w:val="24"/>
        </w:rPr>
        <w:t xml:space="preserve"> </w:t>
      </w:r>
      <w:r w:rsidR="00B07A92" w:rsidRPr="00D91B2B">
        <w:rPr>
          <w:rFonts w:ascii="Cambria" w:hAnsi="Cambria"/>
          <w:color w:val="000000" w:themeColor="text1"/>
          <w:sz w:val="24"/>
          <w:szCs w:val="24"/>
        </w:rPr>
        <w:t xml:space="preserve"> </w:t>
      </w:r>
      <w:r w:rsidR="004251A7" w:rsidRPr="00D91B2B">
        <w:rPr>
          <w:rFonts w:ascii="Cambria" w:hAnsi="Cambria"/>
          <w:color w:val="000000" w:themeColor="text1"/>
          <w:sz w:val="24"/>
          <w:szCs w:val="24"/>
        </w:rPr>
        <w:t xml:space="preserve">Implementation Action Plan </w:t>
      </w:r>
      <w:r w:rsidR="00B07A92" w:rsidRPr="00D91B2B">
        <w:rPr>
          <w:rFonts w:ascii="Cambria" w:hAnsi="Cambria"/>
          <w:color w:val="000000" w:themeColor="text1"/>
          <w:sz w:val="24"/>
          <w:szCs w:val="24"/>
        </w:rPr>
        <w:t>among others</w:t>
      </w:r>
      <w:r w:rsidR="00EE6865" w:rsidRPr="00D91B2B">
        <w:rPr>
          <w:rFonts w:ascii="Cambria" w:eastAsia="Calibri" w:hAnsi="Cambria"/>
          <w:color w:val="000000" w:themeColor="text1"/>
          <w:sz w:val="24"/>
          <w:szCs w:val="24"/>
        </w:rPr>
        <w:t xml:space="preserve">. </w:t>
      </w:r>
    </w:p>
    <w:p w14:paraId="6A117097" w14:textId="56B87FDE" w:rsidR="00A7716C" w:rsidRPr="00D91B2B" w:rsidRDefault="004251A7" w:rsidP="006431F8">
      <w:pPr>
        <w:spacing w:line="360" w:lineRule="auto"/>
        <w:jc w:val="both"/>
        <w:rPr>
          <w:rFonts w:ascii="Cambria" w:hAnsi="Cambria"/>
          <w:b/>
          <w:color w:val="000000" w:themeColor="text1"/>
          <w:sz w:val="24"/>
          <w:szCs w:val="24"/>
        </w:rPr>
      </w:pPr>
      <w:r w:rsidRPr="00D91B2B">
        <w:rPr>
          <w:rFonts w:ascii="Cambria" w:hAnsi="Cambria"/>
          <w:b/>
          <w:bCs/>
          <w:color w:val="000000" w:themeColor="text1"/>
          <w:sz w:val="24"/>
          <w:szCs w:val="24"/>
          <w:shd w:val="clear" w:color="auto" w:fill="FFFFFF"/>
        </w:rPr>
        <w:t xml:space="preserve">Aware that </w:t>
      </w:r>
      <w:r w:rsidRPr="00D91B2B">
        <w:rPr>
          <w:rFonts w:ascii="Cambria" w:hAnsi="Cambria"/>
          <w:color w:val="000000" w:themeColor="text1"/>
          <w:sz w:val="24"/>
          <w:szCs w:val="24"/>
          <w:shd w:val="clear" w:color="auto" w:fill="FFFFFF"/>
        </w:rPr>
        <w:t xml:space="preserve">in 2013, Uganda was part of the ESA Commitment in which the </w:t>
      </w:r>
      <w:r w:rsidRPr="00D91B2B">
        <w:rPr>
          <w:rFonts w:ascii="Cambria" w:hAnsi="Cambria"/>
          <w:color w:val="000000" w:themeColor="text1"/>
          <w:sz w:val="24"/>
          <w:szCs w:val="24"/>
          <w:shd w:val="clear" w:color="auto" w:fill="FFFFFF"/>
        </w:rPr>
        <w:t xml:space="preserve">Ministers of </w:t>
      </w:r>
      <w:r w:rsidRPr="00D91B2B">
        <w:rPr>
          <w:rFonts w:ascii="Cambria" w:hAnsi="Cambria"/>
          <w:color w:val="000000" w:themeColor="text1"/>
          <w:sz w:val="24"/>
          <w:szCs w:val="24"/>
          <w:shd w:val="clear" w:color="auto" w:fill="FFFFFF"/>
        </w:rPr>
        <w:t>E</w:t>
      </w:r>
      <w:r w:rsidRPr="00D91B2B">
        <w:rPr>
          <w:rFonts w:ascii="Cambria" w:hAnsi="Cambria"/>
          <w:color w:val="000000" w:themeColor="text1"/>
          <w:sz w:val="24"/>
          <w:szCs w:val="24"/>
          <w:shd w:val="clear" w:color="auto" w:fill="FFFFFF"/>
        </w:rPr>
        <w:t xml:space="preserve">ducation, </w:t>
      </w:r>
      <w:r w:rsidRPr="00D91B2B">
        <w:rPr>
          <w:rFonts w:ascii="Cambria" w:hAnsi="Cambria"/>
          <w:color w:val="000000" w:themeColor="text1"/>
          <w:sz w:val="24"/>
          <w:szCs w:val="24"/>
          <w:shd w:val="clear" w:color="auto" w:fill="FFFFFF"/>
        </w:rPr>
        <w:t>H</w:t>
      </w:r>
      <w:r w:rsidRPr="00D91B2B">
        <w:rPr>
          <w:rFonts w:ascii="Cambria" w:hAnsi="Cambria"/>
          <w:color w:val="000000" w:themeColor="text1"/>
          <w:sz w:val="24"/>
          <w:szCs w:val="24"/>
          <w:shd w:val="clear" w:color="auto" w:fill="FFFFFF"/>
        </w:rPr>
        <w:t xml:space="preserve">ealth, </w:t>
      </w:r>
      <w:r w:rsidRPr="00D91B2B">
        <w:rPr>
          <w:rFonts w:ascii="Cambria" w:hAnsi="Cambria"/>
          <w:color w:val="000000" w:themeColor="text1"/>
          <w:sz w:val="24"/>
          <w:szCs w:val="24"/>
          <w:shd w:val="clear" w:color="auto" w:fill="FFFFFF"/>
        </w:rPr>
        <w:t>G</w:t>
      </w:r>
      <w:r w:rsidRPr="00D91B2B">
        <w:rPr>
          <w:rFonts w:ascii="Cambria" w:hAnsi="Cambria"/>
          <w:color w:val="000000" w:themeColor="text1"/>
          <w:sz w:val="24"/>
          <w:szCs w:val="24"/>
          <w:shd w:val="clear" w:color="auto" w:fill="FFFFFF"/>
        </w:rPr>
        <w:t xml:space="preserve">ender, and </w:t>
      </w:r>
      <w:r w:rsidRPr="00D91B2B">
        <w:rPr>
          <w:rFonts w:ascii="Cambria" w:hAnsi="Cambria"/>
          <w:color w:val="000000" w:themeColor="text1"/>
          <w:sz w:val="24"/>
          <w:szCs w:val="24"/>
          <w:shd w:val="clear" w:color="auto" w:fill="FFFFFF"/>
        </w:rPr>
        <w:t>Y</w:t>
      </w:r>
      <w:r w:rsidRPr="00D91B2B">
        <w:rPr>
          <w:rFonts w:ascii="Cambria" w:hAnsi="Cambria"/>
          <w:color w:val="000000" w:themeColor="text1"/>
          <w:sz w:val="24"/>
          <w:szCs w:val="24"/>
          <w:shd w:val="clear" w:color="auto" w:fill="FFFFFF"/>
        </w:rPr>
        <w:t>outh in Eastern and Southern Africa (ESA), expressed support to continue their joint efforts towards creating a brighter future for adolescents and young people in the region by empowering the youth and protecting their health and well-being to achieve the common goals.</w:t>
      </w:r>
    </w:p>
    <w:p w14:paraId="309F70E2" w14:textId="627458C0" w:rsidR="000156FD" w:rsidRPr="00D91B2B" w:rsidRDefault="0006731B" w:rsidP="006431F8">
      <w:pPr>
        <w:spacing w:line="360" w:lineRule="auto"/>
        <w:jc w:val="both"/>
        <w:rPr>
          <w:rFonts w:ascii="Cambria" w:hAnsi="Cambria"/>
          <w:b/>
          <w:color w:val="000000" w:themeColor="text1"/>
          <w:sz w:val="24"/>
          <w:szCs w:val="24"/>
        </w:rPr>
      </w:pPr>
      <w:r w:rsidRPr="00D91B2B">
        <w:rPr>
          <w:rFonts w:ascii="Cambria" w:hAnsi="Cambria"/>
          <w:b/>
          <w:color w:val="000000" w:themeColor="text1"/>
          <w:sz w:val="24"/>
          <w:szCs w:val="24"/>
        </w:rPr>
        <w:t xml:space="preserve">CONCERNED </w:t>
      </w:r>
      <w:r w:rsidR="009D2EF2" w:rsidRPr="00D91B2B">
        <w:rPr>
          <w:rFonts w:ascii="Cambria" w:hAnsi="Cambria"/>
          <w:b/>
          <w:color w:val="000000" w:themeColor="text1"/>
          <w:sz w:val="24"/>
          <w:szCs w:val="24"/>
        </w:rPr>
        <w:t>THAT:</w:t>
      </w:r>
      <w:bookmarkStart w:id="1" w:name="_Hlk83042085"/>
      <w:r w:rsidR="004251A7" w:rsidRPr="00D91B2B">
        <w:rPr>
          <w:rFonts w:ascii="Cambria" w:hAnsi="Cambria"/>
          <w:b/>
          <w:color w:val="000000" w:themeColor="text1"/>
          <w:sz w:val="24"/>
          <w:szCs w:val="24"/>
        </w:rPr>
        <w:t xml:space="preserve"> </w:t>
      </w:r>
      <w:r w:rsidR="000156FD" w:rsidRPr="00D91B2B">
        <w:rPr>
          <w:rFonts w:ascii="Cambria" w:hAnsi="Cambria"/>
          <w:color w:val="000000" w:themeColor="text1"/>
          <w:sz w:val="24"/>
          <w:szCs w:val="24"/>
          <w:shd w:val="clear" w:color="auto" w:fill="FFFFFF"/>
        </w:rPr>
        <w:t>Uganda is the most youthful country in East Africa: over half (55%) of the population is below the age of 18 and 35% of the population comprises 10-24</w:t>
      </w:r>
      <w:r w:rsidR="000156FD" w:rsidRPr="00D91B2B">
        <w:rPr>
          <w:rFonts w:ascii="Cambria" w:hAnsi="Cambria" w:cs="Times New Roman"/>
          <w:color w:val="000000" w:themeColor="text1"/>
          <w:sz w:val="24"/>
          <w:szCs w:val="24"/>
          <w:shd w:val="clear" w:color="auto" w:fill="FFFFFF"/>
        </w:rPr>
        <w:t> </w:t>
      </w:r>
      <w:r w:rsidR="000156FD" w:rsidRPr="00D91B2B">
        <w:rPr>
          <w:rFonts w:ascii="Cambria" w:hAnsi="Cambria"/>
          <w:color w:val="000000" w:themeColor="text1"/>
          <w:sz w:val="24"/>
          <w:szCs w:val="24"/>
          <w:shd w:val="clear" w:color="auto" w:fill="FFFFFF"/>
        </w:rPr>
        <w:t xml:space="preserve">years </w:t>
      </w:r>
      <w:proofErr w:type="spellStart"/>
      <w:r w:rsidR="000156FD" w:rsidRPr="00D91B2B">
        <w:rPr>
          <w:rFonts w:ascii="Cambria" w:hAnsi="Cambria"/>
          <w:color w:val="000000" w:themeColor="text1"/>
          <w:sz w:val="24"/>
          <w:szCs w:val="24"/>
          <w:shd w:val="clear" w:color="auto" w:fill="FFFFFF"/>
        </w:rPr>
        <w:t>olds</w:t>
      </w:r>
      <w:proofErr w:type="spellEnd"/>
      <w:r w:rsidR="000156FD" w:rsidRPr="00D91B2B">
        <w:rPr>
          <w:rFonts w:ascii="Cambria" w:hAnsi="Cambria"/>
          <w:color w:val="000000" w:themeColor="text1"/>
          <w:sz w:val="24"/>
          <w:szCs w:val="24"/>
          <w:shd w:val="clear" w:color="auto" w:fill="FFFFFF"/>
        </w:rPr>
        <w:t xml:space="preserve">. Although Uganda’s National Health Policy specifically addresses sexual and reproductive health (SRH) needs of youth and a National Adolescent Health Policy is available, young people’s SRHR need more investment. Despite improved political will to address sexuality </w:t>
      </w:r>
      <w:r w:rsidR="000156FD" w:rsidRPr="00D91B2B">
        <w:rPr>
          <w:rFonts w:ascii="Cambria" w:hAnsi="Cambria"/>
          <w:color w:val="000000" w:themeColor="text1"/>
          <w:sz w:val="24"/>
          <w:szCs w:val="24"/>
          <w:shd w:val="clear" w:color="auto" w:fill="FFFFFF"/>
        </w:rPr>
        <w:lastRenderedPageBreak/>
        <w:t>education in school, resistance persists from selected conservative religious and cultural leaders. Twenty-five percent (25%) of women aged 15-19</w:t>
      </w:r>
      <w:r w:rsidR="000156FD" w:rsidRPr="00D91B2B">
        <w:rPr>
          <w:rFonts w:ascii="Cambria" w:hAnsi="Cambria" w:cs="Times New Roman"/>
          <w:color w:val="000000" w:themeColor="text1"/>
          <w:sz w:val="24"/>
          <w:szCs w:val="24"/>
          <w:shd w:val="clear" w:color="auto" w:fill="FFFFFF"/>
        </w:rPr>
        <w:t> </w:t>
      </w:r>
      <w:r w:rsidR="000156FD" w:rsidRPr="00D91B2B">
        <w:rPr>
          <w:rFonts w:ascii="Cambria" w:hAnsi="Cambria"/>
          <w:color w:val="000000" w:themeColor="text1"/>
          <w:sz w:val="24"/>
          <w:szCs w:val="24"/>
          <w:shd w:val="clear" w:color="auto" w:fill="FFFFFF"/>
        </w:rPr>
        <w:t xml:space="preserve">years have begun childbearing. While knowledge of contraceptive methods is nearly universal in Uganda, 28% of currently married women and 32% of sexually active unmarried women have an unmet need for contraception. </w:t>
      </w:r>
    </w:p>
    <w:p w14:paraId="3408EADB" w14:textId="4DB2081F" w:rsidR="009C7638" w:rsidRPr="00D91B2B" w:rsidRDefault="000156FD" w:rsidP="006431F8">
      <w:pPr>
        <w:spacing w:line="360" w:lineRule="auto"/>
        <w:jc w:val="both"/>
        <w:rPr>
          <w:rFonts w:ascii="Cambria" w:eastAsia="Arial" w:hAnsi="Cambria" w:cs="Arial"/>
          <w:color w:val="000000" w:themeColor="text1"/>
          <w:sz w:val="24"/>
          <w:szCs w:val="24"/>
        </w:rPr>
      </w:pPr>
      <w:r w:rsidRPr="00D91B2B">
        <w:rPr>
          <w:rFonts w:ascii="Cambria" w:hAnsi="Cambria"/>
          <w:b/>
          <w:bCs/>
          <w:color w:val="000000" w:themeColor="text1"/>
          <w:sz w:val="24"/>
          <w:szCs w:val="24"/>
          <w:shd w:val="clear" w:color="auto" w:fill="FFFFFF"/>
        </w:rPr>
        <w:t xml:space="preserve">FURTHER CONCERNED THAT </w:t>
      </w:r>
      <w:r w:rsidRPr="00D91B2B">
        <w:rPr>
          <w:rFonts w:ascii="Cambria" w:hAnsi="Cambria"/>
          <w:color w:val="000000" w:themeColor="text1"/>
          <w:sz w:val="24"/>
          <w:szCs w:val="24"/>
          <w:shd w:val="clear" w:color="auto" w:fill="FFFFFF"/>
        </w:rPr>
        <w:t>Sexually Transmitted Infections (STIs) such as HIV are still prevalent among young people. Young women aged 15-24</w:t>
      </w:r>
      <w:r w:rsidRPr="00D91B2B">
        <w:rPr>
          <w:rFonts w:ascii="Cambria" w:hAnsi="Cambria" w:cs="Times New Roman"/>
          <w:color w:val="000000" w:themeColor="text1"/>
          <w:sz w:val="24"/>
          <w:szCs w:val="24"/>
          <w:shd w:val="clear" w:color="auto" w:fill="FFFFFF"/>
        </w:rPr>
        <w:t> </w:t>
      </w:r>
      <w:r w:rsidRPr="00D91B2B">
        <w:rPr>
          <w:rFonts w:ascii="Cambria" w:hAnsi="Cambria"/>
          <w:color w:val="000000" w:themeColor="text1"/>
          <w:sz w:val="24"/>
          <w:szCs w:val="24"/>
          <w:shd w:val="clear" w:color="auto" w:fill="FFFFFF"/>
        </w:rPr>
        <w:t>years are 2.5 times more likely to be affected by HIV (5%) than men of the same age (2%). Moreover, 50% of ever-partnered women aged 15-49</w:t>
      </w:r>
      <w:r w:rsidRPr="00D91B2B">
        <w:rPr>
          <w:rFonts w:ascii="Cambria" w:hAnsi="Cambria" w:cs="Times New Roman"/>
          <w:color w:val="000000" w:themeColor="text1"/>
          <w:sz w:val="24"/>
          <w:szCs w:val="24"/>
          <w:shd w:val="clear" w:color="auto" w:fill="FFFFFF"/>
        </w:rPr>
        <w:t> </w:t>
      </w:r>
      <w:r w:rsidRPr="00D91B2B">
        <w:rPr>
          <w:rFonts w:ascii="Cambria" w:hAnsi="Cambria"/>
          <w:color w:val="000000" w:themeColor="text1"/>
          <w:sz w:val="24"/>
          <w:szCs w:val="24"/>
          <w:shd w:val="clear" w:color="auto" w:fill="FFFFFF"/>
        </w:rPr>
        <w:t xml:space="preserve">years have experienced intimate partner physical and/or sexual violence at least once in their lifetime. Most recently, the Ugandan government banned comprehensive sexuality education (CSE) in </w:t>
      </w:r>
      <w:proofErr w:type="gramStart"/>
      <w:r w:rsidRPr="00D91B2B">
        <w:rPr>
          <w:rFonts w:ascii="Cambria" w:hAnsi="Cambria"/>
          <w:color w:val="000000" w:themeColor="text1"/>
          <w:sz w:val="24"/>
          <w:szCs w:val="24"/>
          <w:shd w:val="clear" w:color="auto" w:fill="FFFFFF"/>
        </w:rPr>
        <w:t>2016, and</w:t>
      </w:r>
      <w:proofErr w:type="gramEnd"/>
      <w:r w:rsidRPr="00D91B2B">
        <w:rPr>
          <w:rFonts w:ascii="Cambria" w:hAnsi="Cambria"/>
          <w:color w:val="000000" w:themeColor="text1"/>
          <w:sz w:val="24"/>
          <w:szCs w:val="24"/>
          <w:shd w:val="clear" w:color="auto" w:fill="FFFFFF"/>
        </w:rPr>
        <w:t xml:space="preserve"> released new guidelines on sexuality education which focused on abstinence</w:t>
      </w:r>
      <w:r w:rsidR="00F86617" w:rsidRPr="00D91B2B">
        <w:rPr>
          <w:rFonts w:ascii="Cambria" w:hAnsi="Cambria" w:cs="Arial"/>
          <w:color w:val="000000" w:themeColor="text1"/>
          <w:sz w:val="24"/>
          <w:szCs w:val="24"/>
          <w:shd w:val="clear" w:color="auto" w:fill="FFFFFF"/>
        </w:rPr>
        <w:t>.</w:t>
      </w:r>
      <w:r w:rsidR="00F86617" w:rsidRPr="00D91B2B">
        <w:rPr>
          <w:rFonts w:ascii="Cambria" w:eastAsia="Arial" w:hAnsi="Cambria" w:cs="Arial"/>
          <w:color w:val="000000" w:themeColor="text1"/>
          <w:sz w:val="24"/>
          <w:szCs w:val="24"/>
        </w:rPr>
        <w:t xml:space="preserve"> </w:t>
      </w:r>
    </w:p>
    <w:bookmarkEnd w:id="1"/>
    <w:p w14:paraId="61E74E7A" w14:textId="1FA04DDF" w:rsidR="00F341B4" w:rsidRPr="00D91B2B" w:rsidRDefault="009D2EF2" w:rsidP="006431F8">
      <w:pPr>
        <w:spacing w:line="360" w:lineRule="auto"/>
        <w:jc w:val="both"/>
        <w:rPr>
          <w:rFonts w:ascii="Cambria" w:eastAsiaTheme="minorEastAsia" w:hAnsi="Cambria" w:cstheme="minorHAnsi"/>
          <w:color w:val="000000" w:themeColor="text1"/>
          <w:sz w:val="24"/>
          <w:szCs w:val="24"/>
          <w:lang w:eastAsia="zh-CN"/>
        </w:rPr>
      </w:pPr>
      <w:r w:rsidRPr="00D91B2B">
        <w:rPr>
          <w:rFonts w:ascii="Cambria" w:eastAsia="Arial" w:hAnsi="Cambria" w:cs="Arial"/>
          <w:color w:val="000000" w:themeColor="text1"/>
          <w:sz w:val="24"/>
          <w:szCs w:val="24"/>
        </w:rPr>
        <w:t xml:space="preserve">Due to the outbreak of the COVID-19 pandemic, many parents lost income and are unable to feed their families and their households are being pushed into extreme poverty and hunger, children are thus increasingly forced into hazardous and exploitative work to support their </w:t>
      </w:r>
      <w:r w:rsidR="00D21DA9" w:rsidRPr="00D91B2B">
        <w:rPr>
          <w:rFonts w:ascii="Cambria" w:eastAsia="Arial" w:hAnsi="Cambria" w:cs="Arial"/>
          <w:color w:val="000000" w:themeColor="text1"/>
          <w:sz w:val="24"/>
          <w:szCs w:val="24"/>
        </w:rPr>
        <w:t>families</w:t>
      </w:r>
      <w:r w:rsidR="00D21DA9" w:rsidRPr="00D91B2B">
        <w:rPr>
          <w:rFonts w:ascii="Cambria" w:hAnsi="Cambria"/>
          <w:color w:val="000000" w:themeColor="text1"/>
          <w:sz w:val="24"/>
          <w:szCs w:val="24"/>
        </w:rPr>
        <w:t>.</w:t>
      </w:r>
      <w:r w:rsidR="00D21DA9" w:rsidRPr="00D91B2B">
        <w:rPr>
          <w:rFonts w:ascii="Cambria" w:eastAsiaTheme="minorEastAsia" w:hAnsi="Cambria" w:cstheme="minorHAnsi"/>
          <w:color w:val="000000" w:themeColor="text1"/>
          <w:sz w:val="24"/>
          <w:szCs w:val="24"/>
          <w:lang w:eastAsia="zh-CN"/>
        </w:rPr>
        <w:t xml:space="preserve"> There is also overwhelming evidence the longer children are out of school, the greater the risk of violence, rape, child marriages, child </w:t>
      </w:r>
      <w:proofErr w:type="spellStart"/>
      <w:r w:rsidR="00D21DA9" w:rsidRPr="00D91B2B">
        <w:rPr>
          <w:rFonts w:ascii="Cambria" w:eastAsiaTheme="minorEastAsia" w:hAnsi="Cambria" w:cstheme="minorHAnsi"/>
          <w:color w:val="000000" w:themeColor="text1"/>
          <w:sz w:val="24"/>
          <w:szCs w:val="24"/>
          <w:lang w:eastAsia="zh-CN"/>
        </w:rPr>
        <w:t>labour</w:t>
      </w:r>
      <w:proofErr w:type="spellEnd"/>
      <w:r w:rsidR="00D21DA9" w:rsidRPr="00D91B2B">
        <w:rPr>
          <w:rFonts w:ascii="Cambria" w:eastAsiaTheme="minorEastAsia" w:hAnsi="Cambria" w:cstheme="minorHAnsi"/>
          <w:color w:val="000000" w:themeColor="text1"/>
          <w:sz w:val="24"/>
          <w:szCs w:val="24"/>
          <w:lang w:eastAsia="zh-CN"/>
        </w:rPr>
        <w:t xml:space="preserve">, </w:t>
      </w:r>
      <w:proofErr w:type="gramStart"/>
      <w:r w:rsidR="00D21DA9" w:rsidRPr="00D91B2B">
        <w:rPr>
          <w:rFonts w:ascii="Cambria" w:eastAsiaTheme="minorEastAsia" w:hAnsi="Cambria" w:cstheme="minorHAnsi"/>
          <w:color w:val="000000" w:themeColor="text1"/>
          <w:sz w:val="24"/>
          <w:szCs w:val="24"/>
          <w:lang w:eastAsia="zh-CN"/>
        </w:rPr>
        <w:t>prostitution</w:t>
      </w:r>
      <w:proofErr w:type="gramEnd"/>
      <w:r w:rsidR="00D21DA9" w:rsidRPr="00D91B2B">
        <w:rPr>
          <w:rFonts w:ascii="Cambria" w:eastAsiaTheme="minorEastAsia" w:hAnsi="Cambria" w:cstheme="minorHAnsi"/>
          <w:color w:val="000000" w:themeColor="text1"/>
          <w:sz w:val="24"/>
          <w:szCs w:val="24"/>
          <w:lang w:eastAsia="zh-CN"/>
        </w:rPr>
        <w:t xml:space="preserve"> and other life-threatening often criminal activities</w:t>
      </w:r>
      <w:r w:rsidR="00F86617" w:rsidRPr="00D91B2B">
        <w:rPr>
          <w:rFonts w:ascii="Cambria" w:eastAsiaTheme="minorEastAsia" w:hAnsi="Cambria" w:cstheme="minorHAnsi"/>
          <w:color w:val="000000" w:themeColor="text1"/>
          <w:sz w:val="24"/>
          <w:szCs w:val="24"/>
          <w:lang w:eastAsia="zh-CN"/>
        </w:rPr>
        <w:t xml:space="preserve"> this is indicated in the recent media reports showing </w:t>
      </w:r>
      <w:proofErr w:type="spellStart"/>
      <w:r w:rsidR="00F86617" w:rsidRPr="00D91B2B">
        <w:rPr>
          <w:rFonts w:ascii="Cambria" w:eastAsiaTheme="minorEastAsia" w:hAnsi="Cambria" w:cstheme="minorHAnsi"/>
          <w:color w:val="000000" w:themeColor="text1"/>
          <w:sz w:val="24"/>
          <w:szCs w:val="24"/>
          <w:lang w:eastAsia="zh-CN"/>
        </w:rPr>
        <w:t>thousand</w:t>
      </w:r>
      <w:proofErr w:type="spellEnd"/>
      <w:r w:rsidR="00F86617" w:rsidRPr="00D91B2B">
        <w:rPr>
          <w:rFonts w:ascii="Cambria" w:eastAsiaTheme="minorEastAsia" w:hAnsi="Cambria" w:cstheme="minorHAnsi"/>
          <w:color w:val="000000" w:themeColor="text1"/>
          <w:sz w:val="24"/>
          <w:szCs w:val="24"/>
          <w:lang w:eastAsia="zh-CN"/>
        </w:rPr>
        <w:t xml:space="preserve"> of girls pregnant and defiled. </w:t>
      </w:r>
      <w:r w:rsidR="00D21DA9" w:rsidRPr="00D91B2B">
        <w:rPr>
          <w:rFonts w:ascii="Cambria" w:eastAsiaTheme="minorEastAsia" w:hAnsi="Cambria"/>
          <w:color w:val="000000" w:themeColor="text1"/>
          <w:sz w:val="24"/>
          <w:szCs w:val="24"/>
          <w:lang w:eastAsia="zh-CN"/>
        </w:rPr>
        <w:t xml:space="preserve">The UNFPA global Report predicts 13 million extra child marriages will occur in the years immediately following the crisis, with at least 4 million more girls married in the next two years. </w:t>
      </w:r>
    </w:p>
    <w:p w14:paraId="629E8681" w14:textId="41EE7EC7" w:rsidR="00D21DA9" w:rsidRPr="00D91B2B" w:rsidRDefault="00625A2D" w:rsidP="006431F8">
      <w:pPr>
        <w:spacing w:line="360" w:lineRule="auto"/>
        <w:jc w:val="both"/>
        <w:rPr>
          <w:rFonts w:ascii="Cambria" w:hAnsi="Cambria"/>
          <w:color w:val="000000" w:themeColor="text1"/>
          <w:sz w:val="24"/>
          <w:szCs w:val="24"/>
        </w:rPr>
      </w:pPr>
      <w:r w:rsidRPr="00D91B2B">
        <w:rPr>
          <w:rFonts w:ascii="Cambria" w:hAnsi="Cambria"/>
          <w:b/>
          <w:color w:val="000000" w:themeColor="text1"/>
          <w:sz w:val="24"/>
          <w:szCs w:val="24"/>
        </w:rPr>
        <w:t xml:space="preserve">FURTHER CONCERNED THAT there is </w:t>
      </w:r>
      <w:r w:rsidR="00F341B4" w:rsidRPr="00D91B2B">
        <w:rPr>
          <w:rFonts w:ascii="Cambria" w:hAnsi="Cambria"/>
          <w:color w:val="000000" w:themeColor="text1"/>
          <w:sz w:val="24"/>
          <w:szCs w:val="24"/>
        </w:rPr>
        <w:t xml:space="preserve">a 22.5% increase in pregnancy among girls aged 10-24 seeking 1st ANC from 80,655 to 98,810 respectively. Among girls aged 10-14 years, incidence of </w:t>
      </w:r>
      <w:r w:rsidRPr="00D91B2B">
        <w:rPr>
          <w:rFonts w:ascii="Cambria" w:hAnsi="Cambria"/>
          <w:color w:val="000000" w:themeColor="text1"/>
          <w:sz w:val="24"/>
          <w:szCs w:val="24"/>
        </w:rPr>
        <w:t>pregnancies increased</w:t>
      </w:r>
      <w:r w:rsidR="00F341B4" w:rsidRPr="00D91B2B">
        <w:rPr>
          <w:rFonts w:ascii="Cambria" w:hAnsi="Cambria"/>
          <w:color w:val="000000" w:themeColor="text1"/>
          <w:sz w:val="24"/>
          <w:szCs w:val="24"/>
        </w:rPr>
        <w:t xml:space="preserve"> the most (by a staggering 366.5%—from 290 in March to 1,353 in </w:t>
      </w:r>
      <w:proofErr w:type="gramStart"/>
      <w:r w:rsidR="00F341B4" w:rsidRPr="00D91B2B">
        <w:rPr>
          <w:rFonts w:ascii="Cambria" w:hAnsi="Cambria"/>
          <w:color w:val="000000" w:themeColor="text1"/>
          <w:sz w:val="24"/>
          <w:szCs w:val="24"/>
        </w:rPr>
        <w:t>September,</w:t>
      </w:r>
      <w:proofErr w:type="gramEnd"/>
      <w:r w:rsidR="00F341B4" w:rsidRPr="00D91B2B">
        <w:rPr>
          <w:rFonts w:ascii="Cambria" w:hAnsi="Cambria"/>
          <w:color w:val="000000" w:themeColor="text1"/>
          <w:sz w:val="24"/>
          <w:szCs w:val="24"/>
        </w:rPr>
        <w:t xml:space="preserve"> 2020) compared to those aged 15- 19 years (25.5%) and young women aged 20-24 (21.1%). The risk of getting pregnant was higher among girls and young women aged 20-24 with the highest number of pregnancy cases registered in Kampala (24,059), Wakiso (21,595), Mukono (8,639), Kamuli (7,847), Kasese (6,957), Jinja (6,950) and </w:t>
      </w:r>
      <w:proofErr w:type="spellStart"/>
      <w:r w:rsidR="00F341B4" w:rsidRPr="00D91B2B">
        <w:rPr>
          <w:rFonts w:ascii="Cambria" w:hAnsi="Cambria"/>
          <w:color w:val="000000" w:themeColor="text1"/>
          <w:sz w:val="24"/>
          <w:szCs w:val="24"/>
        </w:rPr>
        <w:t>Mayuge</w:t>
      </w:r>
      <w:proofErr w:type="spellEnd"/>
      <w:r w:rsidR="00F341B4" w:rsidRPr="00D91B2B">
        <w:rPr>
          <w:rFonts w:ascii="Cambria" w:hAnsi="Cambria"/>
          <w:color w:val="000000" w:themeColor="text1"/>
          <w:sz w:val="24"/>
          <w:szCs w:val="24"/>
        </w:rPr>
        <w:t xml:space="preserve"> (6,648). </w:t>
      </w:r>
    </w:p>
    <w:p w14:paraId="7582793F" w14:textId="535CC08E" w:rsidR="000156FD" w:rsidRPr="00D91B2B" w:rsidRDefault="000156FD" w:rsidP="006431F8">
      <w:pPr>
        <w:spacing w:line="360" w:lineRule="auto"/>
        <w:jc w:val="both"/>
        <w:rPr>
          <w:rFonts w:ascii="Cambria" w:hAnsi="Cambria"/>
          <w:color w:val="000000" w:themeColor="text1"/>
          <w:sz w:val="24"/>
          <w:szCs w:val="24"/>
        </w:rPr>
      </w:pPr>
      <w:r w:rsidRPr="00D91B2B">
        <w:rPr>
          <w:rFonts w:ascii="Cambria" w:hAnsi="Cambria" w:cs="Arial"/>
          <w:color w:val="000000" w:themeColor="text1"/>
          <w:sz w:val="24"/>
          <w:szCs w:val="24"/>
        </w:rPr>
        <w:lastRenderedPageBreak/>
        <w:t xml:space="preserve">Approximately half of all pregnancies among women aged 15–19 in Uganda </w:t>
      </w:r>
      <w:proofErr w:type="gramStart"/>
      <w:r w:rsidRPr="00D91B2B">
        <w:rPr>
          <w:rFonts w:ascii="Cambria" w:hAnsi="Cambria" w:cs="Arial"/>
          <w:color w:val="000000" w:themeColor="text1"/>
          <w:sz w:val="24"/>
          <w:szCs w:val="24"/>
        </w:rPr>
        <w:t>are</w:t>
      </w:r>
      <w:proofErr w:type="gramEnd"/>
      <w:r w:rsidRPr="00D91B2B">
        <w:rPr>
          <w:rFonts w:ascii="Cambria" w:hAnsi="Cambria" w:cs="Arial"/>
          <w:color w:val="000000" w:themeColor="text1"/>
          <w:sz w:val="24"/>
          <w:szCs w:val="24"/>
        </w:rPr>
        <w:t xml:space="preserve"> unintended, totaling an estimated 214,000 unintended pregnancies each year. The overwhelming majority (88%) of these pregnancies occur among adolescents with an unmet need for modern contraception.</w:t>
      </w:r>
    </w:p>
    <w:p w14:paraId="28922147" w14:textId="3A194A77" w:rsidR="0006731B" w:rsidRPr="00D91B2B" w:rsidRDefault="0006731B" w:rsidP="006431F8">
      <w:pPr>
        <w:spacing w:line="360" w:lineRule="auto"/>
        <w:jc w:val="both"/>
        <w:rPr>
          <w:rFonts w:ascii="Cambria" w:hAnsi="Cambria"/>
          <w:color w:val="000000" w:themeColor="text1"/>
          <w:sz w:val="24"/>
          <w:szCs w:val="24"/>
        </w:rPr>
      </w:pPr>
      <w:r w:rsidRPr="00D91B2B">
        <w:rPr>
          <w:rFonts w:ascii="Cambria" w:hAnsi="Cambria"/>
          <w:b/>
          <w:color w:val="000000" w:themeColor="text1"/>
          <w:sz w:val="24"/>
          <w:szCs w:val="24"/>
        </w:rPr>
        <w:t xml:space="preserve">ACKNOWLEDING </w:t>
      </w:r>
      <w:r w:rsidRPr="00D91B2B">
        <w:rPr>
          <w:rFonts w:ascii="Cambria" w:hAnsi="Cambria"/>
          <w:color w:val="000000" w:themeColor="text1"/>
          <w:sz w:val="24"/>
          <w:szCs w:val="24"/>
        </w:rPr>
        <w:t xml:space="preserve">the fact that the COVID 19 pandemic and its resultant effects and challenges may be part of Uganda and the world’s new mode of operation for a period unknown, yet the existing laws and structures are weak and not enforced to address the challenges of </w:t>
      </w:r>
      <w:r w:rsidR="00625A2D" w:rsidRPr="00D91B2B">
        <w:rPr>
          <w:rFonts w:ascii="Cambria" w:hAnsi="Cambria"/>
          <w:color w:val="000000" w:themeColor="text1"/>
          <w:sz w:val="24"/>
          <w:szCs w:val="24"/>
        </w:rPr>
        <w:t xml:space="preserve">education </w:t>
      </w:r>
      <w:r w:rsidRPr="00D91B2B">
        <w:rPr>
          <w:rFonts w:ascii="Cambria" w:hAnsi="Cambria"/>
          <w:color w:val="000000" w:themeColor="text1"/>
          <w:sz w:val="24"/>
          <w:szCs w:val="24"/>
        </w:rPr>
        <w:t xml:space="preserve">during the period of a pandemic like COVID </w:t>
      </w:r>
      <w:proofErr w:type="gramStart"/>
      <w:r w:rsidRPr="00D91B2B">
        <w:rPr>
          <w:rFonts w:ascii="Cambria" w:hAnsi="Cambria"/>
          <w:color w:val="000000" w:themeColor="text1"/>
          <w:sz w:val="24"/>
          <w:szCs w:val="24"/>
        </w:rPr>
        <w:t>19;</w:t>
      </w:r>
      <w:proofErr w:type="gramEnd"/>
    </w:p>
    <w:p w14:paraId="774A8980" w14:textId="62DCC7DB" w:rsidR="00A7716C" w:rsidRPr="00D91B2B" w:rsidRDefault="00A7716C" w:rsidP="006431F8">
      <w:pPr>
        <w:spacing w:line="360" w:lineRule="auto"/>
        <w:jc w:val="both"/>
        <w:rPr>
          <w:rFonts w:ascii="Cambria" w:hAnsi="Cambria"/>
          <w:b/>
          <w:bCs/>
          <w:color w:val="000000" w:themeColor="text1"/>
          <w:sz w:val="24"/>
          <w:szCs w:val="24"/>
        </w:rPr>
      </w:pPr>
      <w:r w:rsidRPr="00D91B2B">
        <w:rPr>
          <w:rFonts w:ascii="Cambria" w:hAnsi="Cambria"/>
          <w:b/>
          <w:bCs/>
          <w:color w:val="000000" w:themeColor="text1"/>
          <w:sz w:val="24"/>
          <w:szCs w:val="24"/>
        </w:rPr>
        <w:t xml:space="preserve">RECOGNIZING THAT </w:t>
      </w:r>
      <w:r w:rsidRPr="00D91B2B">
        <w:rPr>
          <w:rFonts w:ascii="Cambria" w:hAnsi="Cambria"/>
          <w:color w:val="000000" w:themeColor="text1"/>
          <w:sz w:val="24"/>
          <w:szCs w:val="24"/>
        </w:rPr>
        <w:t xml:space="preserve">Investment in the sexual and reproductive health and rights of young people is particularly critical to attainment of the demographic dividend because it can facilitate gains in their health, well-being, and educational attainment. Long-term investments in the health of adolescents and youth, including in their sexual and reproductive health, can help accelerate economic growth when combined with the appropriate investments in education and economic planning. When the sexual and reproductive health needs of young people are adequately </w:t>
      </w:r>
      <w:proofErr w:type="gramStart"/>
      <w:r w:rsidRPr="00D91B2B">
        <w:rPr>
          <w:rFonts w:ascii="Cambria" w:hAnsi="Cambria"/>
          <w:color w:val="000000" w:themeColor="text1"/>
          <w:sz w:val="24"/>
          <w:szCs w:val="24"/>
        </w:rPr>
        <w:t>met</w:t>
      </w:r>
      <w:proofErr w:type="gramEnd"/>
      <w:r w:rsidRPr="00D91B2B">
        <w:rPr>
          <w:rFonts w:ascii="Cambria" w:hAnsi="Cambria"/>
          <w:color w:val="000000" w:themeColor="text1"/>
          <w:sz w:val="24"/>
          <w:szCs w:val="24"/>
        </w:rPr>
        <w:t xml:space="preserve"> they can better access the information and services they need to stay healthy, avoid unwanted pregnancy and childbearing, prevent and treat sexually transmitted infections including HIV, complete more years of school, and obtain the skills necessary to be economically productive. Access to SRH information, services, and care helps young women exercise their sexual and reproductive rights, stay healthy, and become better prepared to contribute to household finances and ultimately to local and national economies.</w:t>
      </w:r>
    </w:p>
    <w:p w14:paraId="5FE6531B" w14:textId="09F1E15A" w:rsidR="00D22698" w:rsidRPr="00D91B2B" w:rsidRDefault="0006731B" w:rsidP="006431F8">
      <w:pPr>
        <w:spacing w:line="360" w:lineRule="auto"/>
        <w:jc w:val="both"/>
        <w:rPr>
          <w:rFonts w:ascii="Cambria" w:hAnsi="Cambria"/>
          <w:b/>
          <w:color w:val="000000" w:themeColor="text1"/>
          <w:sz w:val="24"/>
          <w:szCs w:val="24"/>
        </w:rPr>
      </w:pPr>
      <w:r w:rsidRPr="00D91B2B">
        <w:rPr>
          <w:rFonts w:ascii="Cambria" w:hAnsi="Cambria"/>
          <w:b/>
          <w:color w:val="000000" w:themeColor="text1"/>
          <w:sz w:val="24"/>
          <w:szCs w:val="24"/>
        </w:rPr>
        <w:t>RECALLING THAT</w:t>
      </w:r>
      <w:r w:rsidRPr="00D91B2B">
        <w:rPr>
          <w:rFonts w:ascii="Cambria" w:hAnsi="Cambria"/>
          <w:color w:val="000000" w:themeColor="text1"/>
          <w:sz w:val="24"/>
          <w:szCs w:val="24"/>
        </w:rPr>
        <w:t xml:space="preserve"> this House has on numerous occasions raised concern over the </w:t>
      </w:r>
      <w:r w:rsidR="00FC790D" w:rsidRPr="00D91B2B">
        <w:rPr>
          <w:rFonts w:ascii="Cambria" w:hAnsi="Cambria"/>
          <w:color w:val="000000" w:themeColor="text1"/>
          <w:sz w:val="24"/>
          <w:szCs w:val="24"/>
        </w:rPr>
        <w:t xml:space="preserve">situation of </w:t>
      </w:r>
      <w:r w:rsidR="00A7716C" w:rsidRPr="00D91B2B">
        <w:rPr>
          <w:rFonts w:ascii="Cambria" w:hAnsi="Cambria"/>
          <w:color w:val="000000" w:themeColor="text1"/>
          <w:sz w:val="24"/>
          <w:szCs w:val="24"/>
        </w:rPr>
        <w:t>SRHR</w:t>
      </w:r>
      <w:r w:rsidR="00FC790D" w:rsidRPr="00D91B2B">
        <w:rPr>
          <w:rFonts w:ascii="Cambria" w:hAnsi="Cambria"/>
          <w:color w:val="000000" w:themeColor="text1"/>
          <w:sz w:val="24"/>
          <w:szCs w:val="24"/>
        </w:rPr>
        <w:t xml:space="preserve"> in </w:t>
      </w:r>
      <w:r w:rsidR="00D22698" w:rsidRPr="00D91B2B">
        <w:rPr>
          <w:rFonts w:ascii="Cambria" w:hAnsi="Cambria"/>
          <w:color w:val="000000" w:themeColor="text1"/>
          <w:sz w:val="24"/>
          <w:szCs w:val="24"/>
        </w:rPr>
        <w:t>Uganda;</w:t>
      </w:r>
      <w:r w:rsidRPr="00D91B2B">
        <w:rPr>
          <w:rFonts w:ascii="Cambria" w:hAnsi="Cambria"/>
          <w:color w:val="000000" w:themeColor="text1"/>
          <w:sz w:val="24"/>
          <w:szCs w:val="24"/>
        </w:rPr>
        <w:t xml:space="preserve"> </w:t>
      </w:r>
      <w:r w:rsidRPr="00D91B2B">
        <w:rPr>
          <w:rFonts w:ascii="Cambria" w:hAnsi="Cambria"/>
          <w:b/>
          <w:bCs/>
          <w:color w:val="000000" w:themeColor="text1"/>
          <w:sz w:val="24"/>
          <w:szCs w:val="24"/>
        </w:rPr>
        <w:t>NOW THEREFORE</w:t>
      </w:r>
      <w:r w:rsidRPr="00D91B2B">
        <w:rPr>
          <w:rFonts w:ascii="Cambria" w:hAnsi="Cambria"/>
          <w:color w:val="000000" w:themeColor="text1"/>
          <w:sz w:val="24"/>
          <w:szCs w:val="24"/>
        </w:rPr>
        <w:t xml:space="preserve"> be it resolved by Parliament that</w:t>
      </w:r>
      <w:r w:rsidR="006431F8" w:rsidRPr="00D91B2B">
        <w:rPr>
          <w:rFonts w:ascii="Cambria" w:hAnsi="Cambria"/>
          <w:color w:val="000000" w:themeColor="text1"/>
          <w:sz w:val="24"/>
          <w:szCs w:val="24"/>
        </w:rPr>
        <w:t xml:space="preserve"> Ministry of Health is urged to</w:t>
      </w:r>
      <w:r w:rsidRPr="00D91B2B">
        <w:rPr>
          <w:rFonts w:ascii="Cambria" w:hAnsi="Cambria"/>
          <w:color w:val="000000" w:themeColor="text1"/>
          <w:sz w:val="24"/>
          <w:szCs w:val="24"/>
        </w:rPr>
        <w:t>:</w:t>
      </w:r>
      <w:bookmarkStart w:id="2" w:name="_Hlk83045859"/>
    </w:p>
    <w:p w14:paraId="7CA35F5B" w14:textId="1A88D29E" w:rsidR="00A7716C" w:rsidRPr="00D91B2B" w:rsidRDefault="006431F8" w:rsidP="006431F8">
      <w:pPr>
        <w:pStyle w:val="ListParagraph"/>
        <w:numPr>
          <w:ilvl w:val="0"/>
          <w:numId w:val="7"/>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S</w:t>
      </w:r>
      <w:r w:rsidR="00A7716C" w:rsidRPr="00D91B2B">
        <w:rPr>
          <w:rFonts w:ascii="Cambria" w:hAnsi="Cambria"/>
          <w:color w:val="000000" w:themeColor="text1"/>
          <w:sz w:val="24"/>
          <w:szCs w:val="24"/>
        </w:rPr>
        <w:t xml:space="preserve">trengthen provision of packages of integrated interventions for by including efforts to address early and/or unintended pregnancy, unsafe abortion, sexually transmitted infections (STIs), violence against women and girls, and efforts to combat harmful practices such as child marriage and female genital mutilation (FGM). </w:t>
      </w:r>
    </w:p>
    <w:p w14:paraId="217AFC59" w14:textId="77777777" w:rsidR="00A7716C" w:rsidRPr="00D91B2B" w:rsidRDefault="00A7716C" w:rsidP="006431F8">
      <w:pPr>
        <w:pStyle w:val="ListParagraph"/>
        <w:numPr>
          <w:ilvl w:val="0"/>
          <w:numId w:val="7"/>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lastRenderedPageBreak/>
        <w:t>Scale up of Youth friendly integrated SRH/HIV and GBV services including culturally acceptable and age –specific Comprehensive Sexuality Education for youth both in-school and out-of-school.</w:t>
      </w:r>
    </w:p>
    <w:p w14:paraId="6C87215E" w14:textId="77777777" w:rsidR="00A7716C" w:rsidRPr="00D91B2B" w:rsidRDefault="00A7716C" w:rsidP="006431F8">
      <w:pPr>
        <w:pStyle w:val="ListParagraph"/>
        <w:numPr>
          <w:ilvl w:val="0"/>
          <w:numId w:val="7"/>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 xml:space="preserve">Undertake systems strengthening for provision of integrated services including trained Health workers and Community health extension Workers. </w:t>
      </w:r>
    </w:p>
    <w:p w14:paraId="281C9D28" w14:textId="61B49B92" w:rsidR="00A7716C" w:rsidRPr="00D91B2B" w:rsidRDefault="00A7716C" w:rsidP="006431F8">
      <w:pPr>
        <w:pStyle w:val="ListParagraph"/>
        <w:numPr>
          <w:ilvl w:val="0"/>
          <w:numId w:val="7"/>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 xml:space="preserve">The Ministry of Health should strengthen coordination and accountability in resource </w:t>
      </w:r>
      <w:proofErr w:type="spellStart"/>
      <w:r w:rsidRPr="00D91B2B">
        <w:rPr>
          <w:rFonts w:ascii="Cambria" w:hAnsi="Cambria"/>
          <w:color w:val="000000" w:themeColor="text1"/>
          <w:sz w:val="24"/>
          <w:szCs w:val="24"/>
        </w:rPr>
        <w:t>mobilisation</w:t>
      </w:r>
      <w:proofErr w:type="spellEnd"/>
      <w:r w:rsidRPr="00D91B2B">
        <w:rPr>
          <w:rFonts w:ascii="Cambria" w:hAnsi="Cambria"/>
          <w:color w:val="000000" w:themeColor="text1"/>
          <w:sz w:val="24"/>
          <w:szCs w:val="24"/>
        </w:rPr>
        <w:t xml:space="preserve"> and allocation. There should be more efforts towards ensuring resources are </w:t>
      </w:r>
      <w:proofErr w:type="spellStart"/>
      <w:r w:rsidRPr="00D91B2B">
        <w:rPr>
          <w:rFonts w:ascii="Cambria" w:hAnsi="Cambria"/>
          <w:color w:val="000000" w:themeColor="text1"/>
          <w:sz w:val="24"/>
          <w:szCs w:val="24"/>
        </w:rPr>
        <w:t>mobilised</w:t>
      </w:r>
      <w:proofErr w:type="spellEnd"/>
      <w:r w:rsidRPr="00D91B2B">
        <w:rPr>
          <w:rFonts w:ascii="Cambria" w:hAnsi="Cambria"/>
          <w:color w:val="000000" w:themeColor="text1"/>
          <w:sz w:val="24"/>
          <w:szCs w:val="24"/>
        </w:rPr>
        <w:t xml:space="preserve"> and directed towards the provision of integrated services as opposed to vertical </w:t>
      </w:r>
      <w:proofErr w:type="gramStart"/>
      <w:r w:rsidRPr="00D91B2B">
        <w:rPr>
          <w:rFonts w:ascii="Cambria" w:hAnsi="Cambria"/>
          <w:color w:val="000000" w:themeColor="text1"/>
          <w:sz w:val="24"/>
          <w:szCs w:val="24"/>
        </w:rPr>
        <w:t>programming</w:t>
      </w:r>
      <w:proofErr w:type="gramEnd"/>
    </w:p>
    <w:p w14:paraId="68C10A8D" w14:textId="20DF8053" w:rsidR="004D0C7A" w:rsidRPr="00D91B2B" w:rsidRDefault="004D0C7A" w:rsidP="006431F8">
      <w:pPr>
        <w:pStyle w:val="ListParagraph"/>
        <w:numPr>
          <w:ilvl w:val="0"/>
          <w:numId w:val="7"/>
        </w:numPr>
        <w:spacing w:line="360" w:lineRule="auto"/>
        <w:jc w:val="both"/>
        <w:rPr>
          <w:rFonts w:ascii="Cambria" w:hAnsi="Cambria"/>
          <w:color w:val="000000" w:themeColor="text1"/>
          <w:sz w:val="24"/>
          <w:szCs w:val="24"/>
        </w:rPr>
      </w:pPr>
      <w:proofErr w:type="spellStart"/>
      <w:r w:rsidRPr="00D91B2B">
        <w:rPr>
          <w:rFonts w:ascii="Cambria" w:hAnsi="Cambria"/>
          <w:color w:val="000000" w:themeColor="text1"/>
          <w:sz w:val="24"/>
          <w:szCs w:val="24"/>
        </w:rPr>
        <w:t>Prioritise</w:t>
      </w:r>
      <w:proofErr w:type="spellEnd"/>
      <w:r w:rsidRPr="00D91B2B">
        <w:rPr>
          <w:rFonts w:ascii="Cambria" w:hAnsi="Cambria"/>
          <w:color w:val="000000" w:themeColor="text1"/>
          <w:sz w:val="24"/>
          <w:szCs w:val="24"/>
        </w:rPr>
        <w:t xml:space="preserve"> human resources for health through recruitment and retention of skilled health workers especially in </w:t>
      </w:r>
      <w:proofErr w:type="gramStart"/>
      <w:r w:rsidRPr="00D91B2B">
        <w:rPr>
          <w:rFonts w:ascii="Cambria" w:hAnsi="Cambria"/>
          <w:color w:val="000000" w:themeColor="text1"/>
          <w:sz w:val="24"/>
          <w:szCs w:val="24"/>
        </w:rPr>
        <w:t>hard to reach</w:t>
      </w:r>
      <w:proofErr w:type="gramEnd"/>
      <w:r w:rsidRPr="00D91B2B">
        <w:rPr>
          <w:rFonts w:ascii="Cambria" w:hAnsi="Cambria"/>
          <w:color w:val="000000" w:themeColor="text1"/>
          <w:sz w:val="24"/>
          <w:szCs w:val="24"/>
        </w:rPr>
        <w:t xml:space="preserve"> areas. In addition, efforts should be taken to strengthen pre and in – service training to enhance health workers’ skills in integrated SRH /HIV service delivery. Undertake capacity assessment at facility level to assess staffing shortages or surpluses to facilitate reallocation of duties and task shifting where recruitment may not be </w:t>
      </w:r>
      <w:proofErr w:type="gramStart"/>
      <w:r w:rsidRPr="00D91B2B">
        <w:rPr>
          <w:rFonts w:ascii="Cambria" w:hAnsi="Cambria"/>
          <w:color w:val="000000" w:themeColor="text1"/>
          <w:sz w:val="24"/>
          <w:szCs w:val="24"/>
        </w:rPr>
        <w:t>possible</w:t>
      </w:r>
      <w:proofErr w:type="gramEnd"/>
    </w:p>
    <w:p w14:paraId="09DAFD8B" w14:textId="7106ACB5" w:rsidR="00126F39" w:rsidRPr="00D91B2B" w:rsidRDefault="00606B40" w:rsidP="006431F8">
      <w:pPr>
        <w:pStyle w:val="ListParagraph"/>
        <w:numPr>
          <w:ilvl w:val="0"/>
          <w:numId w:val="7"/>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Ministry of E</w:t>
      </w:r>
      <w:r w:rsidR="006D0E94" w:rsidRPr="00D91B2B">
        <w:rPr>
          <w:rFonts w:ascii="Cambria" w:hAnsi="Cambria"/>
          <w:color w:val="000000" w:themeColor="text1"/>
          <w:sz w:val="24"/>
          <w:szCs w:val="24"/>
        </w:rPr>
        <w:t>du</w:t>
      </w:r>
      <w:r w:rsidRPr="00D91B2B">
        <w:rPr>
          <w:rFonts w:ascii="Cambria" w:hAnsi="Cambria"/>
          <w:color w:val="000000" w:themeColor="text1"/>
          <w:sz w:val="24"/>
          <w:szCs w:val="24"/>
        </w:rPr>
        <w:t>cation and Sports, Ministry of H</w:t>
      </w:r>
      <w:r w:rsidR="006D0E94" w:rsidRPr="00D91B2B">
        <w:rPr>
          <w:rFonts w:ascii="Cambria" w:hAnsi="Cambria"/>
          <w:color w:val="000000" w:themeColor="text1"/>
          <w:sz w:val="24"/>
          <w:szCs w:val="24"/>
        </w:rPr>
        <w:t xml:space="preserve">ealth and other partners </w:t>
      </w:r>
      <w:r w:rsidR="00E20DA5" w:rsidRPr="00D91B2B">
        <w:rPr>
          <w:rFonts w:ascii="Cambria" w:hAnsi="Cambria"/>
          <w:color w:val="000000" w:themeColor="text1"/>
          <w:sz w:val="24"/>
          <w:szCs w:val="24"/>
        </w:rPr>
        <w:t>should expedite</w:t>
      </w:r>
      <w:r w:rsidR="00126F39" w:rsidRPr="00D91B2B">
        <w:rPr>
          <w:rFonts w:ascii="Cambria" w:hAnsi="Cambria"/>
          <w:color w:val="000000" w:themeColor="text1"/>
          <w:sz w:val="24"/>
          <w:szCs w:val="24"/>
        </w:rPr>
        <w:t xml:space="preserve"> implementation of “Revised Guidelines on Prevention and Management of Teenage Pregnancy in school settings in Uganda (2020), as they provide for re-integration of adolescent mothers (10-19) into learning institutions post-COVID-19. In addition, a support mechanism for learners who have given birth that helps their re-integration back to the learning environment and creating a safer space for their babies is very crucial now at the time of the COVID-19 pandemic more than </w:t>
      </w:r>
      <w:proofErr w:type="gramStart"/>
      <w:r w:rsidR="00126F39" w:rsidRPr="00D91B2B">
        <w:rPr>
          <w:rFonts w:ascii="Cambria" w:hAnsi="Cambria"/>
          <w:color w:val="000000" w:themeColor="text1"/>
          <w:sz w:val="24"/>
          <w:szCs w:val="24"/>
        </w:rPr>
        <w:t>ever</w:t>
      </w:r>
      <w:proofErr w:type="gramEnd"/>
    </w:p>
    <w:bookmarkEnd w:id="2"/>
    <w:p w14:paraId="51C3328E" w14:textId="3A6FC50C" w:rsidR="00A149EA" w:rsidRPr="00D91B2B" w:rsidRDefault="00A149EA" w:rsidP="006431F8">
      <w:pPr>
        <w:pStyle w:val="ListParagraph"/>
        <w:numPr>
          <w:ilvl w:val="0"/>
          <w:numId w:val="7"/>
        </w:numPr>
        <w:spacing w:line="360" w:lineRule="auto"/>
        <w:jc w:val="both"/>
        <w:rPr>
          <w:rFonts w:ascii="Cambria" w:hAnsi="Cambria"/>
          <w:color w:val="000000" w:themeColor="text1"/>
          <w:sz w:val="24"/>
          <w:szCs w:val="24"/>
        </w:rPr>
      </w:pPr>
      <w:r w:rsidRPr="00D91B2B">
        <w:rPr>
          <w:rFonts w:ascii="Cambria" w:hAnsi="Cambria"/>
          <w:color w:val="000000" w:themeColor="text1"/>
          <w:sz w:val="24"/>
          <w:szCs w:val="24"/>
        </w:rPr>
        <w:t>In the medium term, we recommend the need to (</w:t>
      </w:r>
      <w:proofErr w:type="spellStart"/>
      <w:r w:rsidRPr="00D91B2B">
        <w:rPr>
          <w:rFonts w:ascii="Cambria" w:hAnsi="Cambria"/>
          <w:color w:val="000000" w:themeColor="text1"/>
          <w:sz w:val="24"/>
          <w:szCs w:val="24"/>
        </w:rPr>
        <w:t>i</w:t>
      </w:r>
      <w:proofErr w:type="spellEnd"/>
      <w:r w:rsidRPr="00D91B2B">
        <w:rPr>
          <w:rFonts w:ascii="Cambria" w:hAnsi="Cambria"/>
          <w:color w:val="000000" w:themeColor="text1"/>
          <w:sz w:val="24"/>
          <w:szCs w:val="24"/>
        </w:rPr>
        <w:t>) digitize the health and education services by leveraging ICT in the teaching, learning, management and monitoring and evaluation processes (ii) provide the basic minimum infrastructure to ensure that all who want to access health and education services</w:t>
      </w:r>
      <w:r w:rsidR="006421C8" w:rsidRPr="00D91B2B">
        <w:rPr>
          <w:rFonts w:ascii="Cambria" w:hAnsi="Cambria"/>
          <w:color w:val="000000" w:themeColor="text1"/>
          <w:sz w:val="24"/>
          <w:szCs w:val="24"/>
        </w:rPr>
        <w:t>.</w:t>
      </w:r>
    </w:p>
    <w:p w14:paraId="2B2909DD" w14:textId="620AD953" w:rsidR="0044552A" w:rsidRPr="00D91B2B" w:rsidRDefault="00973378" w:rsidP="006D0E94">
      <w:pPr>
        <w:spacing w:line="360" w:lineRule="auto"/>
        <w:jc w:val="both"/>
        <w:rPr>
          <w:rFonts w:ascii="Cambria" w:hAnsi="Cambria"/>
          <w:b/>
          <w:color w:val="000000" w:themeColor="text1"/>
          <w:sz w:val="24"/>
          <w:szCs w:val="24"/>
        </w:rPr>
      </w:pPr>
      <w:r w:rsidRPr="00D91B2B">
        <w:rPr>
          <w:rFonts w:ascii="Cambria" w:hAnsi="Cambria"/>
          <w:b/>
          <w:color w:val="000000" w:themeColor="text1"/>
          <w:sz w:val="24"/>
          <w:szCs w:val="24"/>
        </w:rPr>
        <w:t xml:space="preserve">Rt.Hon. Speaker, I beg to </w:t>
      </w:r>
      <w:proofErr w:type="gramStart"/>
      <w:r w:rsidRPr="00D91B2B">
        <w:rPr>
          <w:rFonts w:ascii="Cambria" w:hAnsi="Cambria"/>
          <w:b/>
          <w:color w:val="000000" w:themeColor="text1"/>
          <w:sz w:val="24"/>
          <w:szCs w:val="24"/>
        </w:rPr>
        <w:t>move</w:t>
      </w:r>
      <w:proofErr w:type="gramEnd"/>
    </w:p>
    <w:p w14:paraId="5C7C750C" w14:textId="1B236731" w:rsidR="00973378" w:rsidRPr="00D91B2B" w:rsidRDefault="00973378" w:rsidP="006D0E94">
      <w:pPr>
        <w:spacing w:line="360" w:lineRule="auto"/>
        <w:jc w:val="both"/>
        <w:rPr>
          <w:rFonts w:ascii="Garamond" w:hAnsi="Garamond"/>
          <w:bCs/>
          <w:color w:val="000000" w:themeColor="text1"/>
          <w:sz w:val="28"/>
          <w:szCs w:val="28"/>
        </w:rPr>
      </w:pPr>
      <w:r w:rsidRPr="00D91B2B">
        <w:rPr>
          <w:rFonts w:ascii="Cambria" w:hAnsi="Cambria"/>
          <w:b/>
          <w:color w:val="000000" w:themeColor="text1"/>
          <w:sz w:val="24"/>
          <w:szCs w:val="24"/>
        </w:rPr>
        <w:t xml:space="preserve"> </w:t>
      </w:r>
      <w:r w:rsidR="0044552A" w:rsidRPr="00D91B2B">
        <w:rPr>
          <w:rFonts w:ascii="Cambria" w:hAnsi="Cambria"/>
          <w:b/>
          <w:color w:val="000000" w:themeColor="text1"/>
          <w:sz w:val="24"/>
          <w:szCs w:val="24"/>
        </w:rPr>
        <w:t>MOV</w:t>
      </w:r>
      <w:r w:rsidR="0044552A" w:rsidRPr="00D91B2B">
        <w:rPr>
          <w:rFonts w:ascii="Garamond" w:hAnsi="Garamond"/>
          <w:b/>
          <w:color w:val="000000" w:themeColor="text1"/>
          <w:sz w:val="28"/>
          <w:szCs w:val="28"/>
        </w:rPr>
        <w:t>ER:</w:t>
      </w:r>
      <w:r w:rsidRPr="00D91B2B">
        <w:rPr>
          <w:rFonts w:ascii="Garamond" w:hAnsi="Garamond"/>
          <w:b/>
          <w:color w:val="000000" w:themeColor="text1"/>
          <w:sz w:val="28"/>
          <w:szCs w:val="28"/>
        </w:rPr>
        <w:t xml:space="preserve"> HON. </w:t>
      </w:r>
      <w:r w:rsidR="00DF3414" w:rsidRPr="00D91B2B">
        <w:rPr>
          <w:rFonts w:ascii="Garamond" w:hAnsi="Garamond"/>
          <w:bCs/>
          <w:color w:val="000000" w:themeColor="text1"/>
          <w:sz w:val="28"/>
          <w:szCs w:val="28"/>
        </w:rPr>
        <w:t xml:space="preserve">Phionah </w:t>
      </w:r>
      <w:proofErr w:type="spellStart"/>
      <w:r w:rsidR="00DF3414" w:rsidRPr="00D91B2B">
        <w:rPr>
          <w:rFonts w:ascii="Garamond" w:hAnsi="Garamond"/>
          <w:bCs/>
          <w:color w:val="000000" w:themeColor="text1"/>
          <w:sz w:val="28"/>
          <w:szCs w:val="28"/>
        </w:rPr>
        <w:t>Nyamutoro</w:t>
      </w:r>
      <w:proofErr w:type="spellEnd"/>
    </w:p>
    <w:sectPr w:rsidR="00973378" w:rsidRPr="00D91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1359" w14:textId="77777777" w:rsidR="00ED1ECA" w:rsidRDefault="00ED1ECA" w:rsidP="00D21DA9">
      <w:pPr>
        <w:spacing w:after="0" w:line="240" w:lineRule="auto"/>
      </w:pPr>
      <w:r>
        <w:separator/>
      </w:r>
    </w:p>
  </w:endnote>
  <w:endnote w:type="continuationSeparator" w:id="0">
    <w:p w14:paraId="791F71C5" w14:textId="77777777" w:rsidR="00ED1ECA" w:rsidRDefault="00ED1ECA" w:rsidP="00D2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CEC2" w14:textId="77777777" w:rsidR="00ED1ECA" w:rsidRDefault="00ED1ECA" w:rsidP="00D21DA9">
      <w:pPr>
        <w:spacing w:after="0" w:line="240" w:lineRule="auto"/>
      </w:pPr>
      <w:r>
        <w:separator/>
      </w:r>
    </w:p>
  </w:footnote>
  <w:footnote w:type="continuationSeparator" w:id="0">
    <w:p w14:paraId="48606F36" w14:textId="77777777" w:rsidR="00ED1ECA" w:rsidRDefault="00ED1ECA" w:rsidP="00D2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E82"/>
    <w:multiLevelType w:val="hybridMultilevel"/>
    <w:tmpl w:val="32E29106"/>
    <w:lvl w:ilvl="0" w:tplc="D4CE66D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D20A9"/>
    <w:multiLevelType w:val="hybridMultilevel"/>
    <w:tmpl w:val="32788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95B0C"/>
    <w:multiLevelType w:val="hybridMultilevel"/>
    <w:tmpl w:val="605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4F9C"/>
    <w:multiLevelType w:val="hybridMultilevel"/>
    <w:tmpl w:val="AE08E81C"/>
    <w:lvl w:ilvl="0" w:tplc="B0DC5C3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4FA47B61"/>
    <w:multiLevelType w:val="hybridMultilevel"/>
    <w:tmpl w:val="06F0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F7157"/>
    <w:multiLevelType w:val="hybridMultilevel"/>
    <w:tmpl w:val="CA629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B07F2"/>
    <w:multiLevelType w:val="hybridMultilevel"/>
    <w:tmpl w:val="DE4C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162195">
    <w:abstractNumId w:val="3"/>
  </w:num>
  <w:num w:numId="2" w16cid:durableId="1031612607">
    <w:abstractNumId w:val="2"/>
  </w:num>
  <w:num w:numId="3" w16cid:durableId="1158886508">
    <w:abstractNumId w:val="6"/>
  </w:num>
  <w:num w:numId="4" w16cid:durableId="441531488">
    <w:abstractNumId w:val="4"/>
  </w:num>
  <w:num w:numId="5" w16cid:durableId="1203251970">
    <w:abstractNumId w:val="0"/>
  </w:num>
  <w:num w:numId="6" w16cid:durableId="1157845204">
    <w:abstractNumId w:val="1"/>
  </w:num>
  <w:num w:numId="7" w16cid:durableId="1301962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1B"/>
    <w:rsid w:val="000156FD"/>
    <w:rsid w:val="0006731B"/>
    <w:rsid w:val="000A40BB"/>
    <w:rsid w:val="00102445"/>
    <w:rsid w:val="00126F39"/>
    <w:rsid w:val="00130097"/>
    <w:rsid w:val="001D0438"/>
    <w:rsid w:val="001E69D4"/>
    <w:rsid w:val="002C7485"/>
    <w:rsid w:val="00364D7A"/>
    <w:rsid w:val="00377626"/>
    <w:rsid w:val="004251A7"/>
    <w:rsid w:val="0044552A"/>
    <w:rsid w:val="004D0C7A"/>
    <w:rsid w:val="00581497"/>
    <w:rsid w:val="006047F8"/>
    <w:rsid w:val="00606B40"/>
    <w:rsid w:val="00625A2D"/>
    <w:rsid w:val="006421C8"/>
    <w:rsid w:val="006431F8"/>
    <w:rsid w:val="006D0E94"/>
    <w:rsid w:val="00754D63"/>
    <w:rsid w:val="00774603"/>
    <w:rsid w:val="00894079"/>
    <w:rsid w:val="0092255B"/>
    <w:rsid w:val="00973378"/>
    <w:rsid w:val="00984076"/>
    <w:rsid w:val="009C7638"/>
    <w:rsid w:val="009D2EF2"/>
    <w:rsid w:val="009E3EA4"/>
    <w:rsid w:val="00A149EA"/>
    <w:rsid w:val="00A223E4"/>
    <w:rsid w:val="00A34901"/>
    <w:rsid w:val="00A7716C"/>
    <w:rsid w:val="00B07A92"/>
    <w:rsid w:val="00B13C09"/>
    <w:rsid w:val="00B236BF"/>
    <w:rsid w:val="00BA782E"/>
    <w:rsid w:val="00BC1147"/>
    <w:rsid w:val="00BC1F99"/>
    <w:rsid w:val="00BC41E2"/>
    <w:rsid w:val="00BD31D4"/>
    <w:rsid w:val="00BD35B4"/>
    <w:rsid w:val="00C0347E"/>
    <w:rsid w:val="00C42311"/>
    <w:rsid w:val="00C64C06"/>
    <w:rsid w:val="00CE5690"/>
    <w:rsid w:val="00CF3B5B"/>
    <w:rsid w:val="00D21DA9"/>
    <w:rsid w:val="00D22698"/>
    <w:rsid w:val="00D60CF4"/>
    <w:rsid w:val="00D90C19"/>
    <w:rsid w:val="00D91B2B"/>
    <w:rsid w:val="00DA4282"/>
    <w:rsid w:val="00DD5EA1"/>
    <w:rsid w:val="00DF3414"/>
    <w:rsid w:val="00E20DA5"/>
    <w:rsid w:val="00E47CA4"/>
    <w:rsid w:val="00E82859"/>
    <w:rsid w:val="00E850FE"/>
    <w:rsid w:val="00EB0F7F"/>
    <w:rsid w:val="00ED1ECA"/>
    <w:rsid w:val="00EE6865"/>
    <w:rsid w:val="00F341B4"/>
    <w:rsid w:val="00F63ACA"/>
    <w:rsid w:val="00F86617"/>
    <w:rsid w:val="00FC790D"/>
    <w:rsid w:val="00FD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C3DA"/>
  <w15:chartTrackingRefBased/>
  <w15:docId w15:val="{77C0DD3A-4C59-4481-9045-FC38C186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Dot pt,Bullet Points,No Spacing1,List Paragraph Char Char Char,Indicator Text,Numbered Para 1,Bullet 1,MAIN CONTENT,List Paragraph12,OBC Bullet,F5 List Paragraph,Colorful List - Accent 11,Normal numbered,Bullet Style,lp1"/>
    <w:basedOn w:val="Normal"/>
    <w:link w:val="ListParagraphChar"/>
    <w:uiPriority w:val="34"/>
    <w:qFormat/>
    <w:rsid w:val="0006731B"/>
    <w:pPr>
      <w:ind w:left="720"/>
      <w:contextualSpacing/>
    </w:pPr>
  </w:style>
  <w:style w:type="paragraph" w:styleId="FootnoteText">
    <w:name w:val="footnote text"/>
    <w:basedOn w:val="Normal"/>
    <w:link w:val="FootnoteTextChar"/>
    <w:uiPriority w:val="99"/>
    <w:semiHidden/>
    <w:unhideWhenUsed/>
    <w:rsid w:val="00D21D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21DA9"/>
    <w:rPr>
      <w:rFonts w:ascii="Calibri" w:eastAsia="Calibri" w:hAnsi="Calibri" w:cs="Times New Roman"/>
      <w:sz w:val="20"/>
      <w:szCs w:val="20"/>
    </w:rPr>
  </w:style>
  <w:style w:type="character" w:styleId="FootnoteReference">
    <w:name w:val="footnote reference"/>
    <w:uiPriority w:val="99"/>
    <w:semiHidden/>
    <w:unhideWhenUsed/>
    <w:rsid w:val="00D21DA9"/>
    <w:rPr>
      <w:vertAlign w:val="superscript"/>
    </w:rPr>
  </w:style>
  <w:style w:type="character" w:customStyle="1" w:styleId="ListParagraphChar">
    <w:name w:val="List Paragraph Char"/>
    <w:aliases w:val="List Paragraph1 Char,Dot pt Char,Bullet Points Char,No Spacing1 Char,List Paragraph Char Char Char Char,Indicator Text Char,Numbered Para 1 Char,Bullet 1 Char,MAIN CONTENT Char,List Paragraph12 Char,OBC Bullet Char,Bullet Style Char"/>
    <w:link w:val="ListParagraph"/>
    <w:uiPriority w:val="34"/>
    <w:qFormat/>
    <w:locked/>
    <w:rsid w:val="00754D63"/>
  </w:style>
  <w:style w:type="paragraph" w:customStyle="1" w:styleId="Default">
    <w:name w:val="Default"/>
    <w:rsid w:val="00B07A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15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A754C22D560B4586F4C81CA716015B" ma:contentTypeVersion="10" ma:contentTypeDescription="Create a new document." ma:contentTypeScope="" ma:versionID="fc3fd57e7b97ceca93203f45295a843e">
  <xsd:schema xmlns:xsd="http://www.w3.org/2001/XMLSchema" xmlns:xs="http://www.w3.org/2001/XMLSchema" xmlns:p="http://schemas.microsoft.com/office/2006/metadata/properties" xmlns:ns3="376d8f28-1fbd-4f48-a2c9-e918b91336d1" targetNamespace="http://schemas.microsoft.com/office/2006/metadata/properties" ma:root="true" ma:fieldsID="ba509087282778dcb42d887f7a29d8a8" ns3:_="">
    <xsd:import namespace="376d8f28-1fbd-4f48-a2c9-e918b91336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8f28-1fbd-4f48-a2c9-e918b9133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9DB3F-34B2-4525-A4F6-34B0CBACC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9C6E1-22C3-4F1D-88F5-083B97165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8f28-1fbd-4f48-a2c9-e918b913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8F291-1E87-4BE6-B723-D7797115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Tibesigwa</dc:creator>
  <cp:keywords/>
  <dc:description/>
  <cp:lastModifiedBy>Prosper Mubangizi</cp:lastModifiedBy>
  <cp:revision>4</cp:revision>
  <dcterms:created xsi:type="dcterms:W3CDTF">2023-06-20T09:45:00Z</dcterms:created>
  <dcterms:modified xsi:type="dcterms:W3CDTF">2023-06-20T09:46:00Z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0x0101005CA754C22D560B4586F4C81CA716015B</vt:lpwstr>
  </property>
</Properties>
</file>